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98E444">
      <w:pPr>
        <w:keepNext w:val="0"/>
        <w:keepLines w:val="0"/>
        <w:pageBreakBefore w:val="0"/>
        <w:widowControl w:val="0"/>
        <w:suppressLineNumbers w:val="0"/>
        <w:kinsoku/>
        <w:wordWrap/>
        <w:overflowPunct/>
        <w:autoSpaceDE w:val="0"/>
        <w:autoSpaceDN/>
        <w:bidi w:val="0"/>
        <w:adjustRightInd/>
        <w:snapToGrid/>
        <w:spacing w:line="560" w:lineRule="exact"/>
        <w:ind w:left="0" w:leftChars="0"/>
        <w:jc w:val="both"/>
        <w:textAlignment w:val="auto"/>
        <w:rPr>
          <w:rFonts w:hint="eastAsia" w:ascii="黑体" w:hAnsi="黑体" w:eastAsia="黑体" w:cs="黑体"/>
          <w:kern w:val="2"/>
          <w:sz w:val="32"/>
          <w:szCs w:val="32"/>
          <w:lang w:eastAsia="zh-CN"/>
        </w:rPr>
      </w:pPr>
      <w:bookmarkStart w:id="0" w:name="_GoBack"/>
      <w:bookmarkEnd w:id="0"/>
      <w:r>
        <w:rPr>
          <w:rFonts w:hint="eastAsia" w:ascii="黑体" w:hAnsi="黑体" w:eastAsia="黑体" w:cs="黑体"/>
          <w:kern w:val="2"/>
          <w:sz w:val="32"/>
          <w:szCs w:val="32"/>
          <w:lang w:eastAsia="zh-CN"/>
        </w:rPr>
        <w:t>附件：</w:t>
      </w:r>
    </w:p>
    <w:p w14:paraId="49017ED0">
      <w:pPr>
        <w:pStyle w:val="2"/>
        <w:keepNext w:val="0"/>
        <w:keepLines w:val="0"/>
        <w:pageBreakBefore w:val="0"/>
        <w:kinsoku/>
        <w:wordWrap/>
        <w:overflowPunct/>
        <w:bidi w:val="0"/>
        <w:adjustRightInd/>
        <w:snapToGrid/>
        <w:spacing w:line="560" w:lineRule="exact"/>
        <w:textAlignment w:val="auto"/>
        <w:rPr>
          <w:rFonts w:hint="eastAsia"/>
          <w:sz w:val="32"/>
          <w:szCs w:val="32"/>
          <w:lang w:eastAsia="zh-CN"/>
        </w:rPr>
      </w:pPr>
    </w:p>
    <w:p w14:paraId="6E5F860D">
      <w:pPr>
        <w:keepNext w:val="0"/>
        <w:keepLines w:val="0"/>
        <w:pageBreakBefore w:val="0"/>
        <w:widowControl w:val="0"/>
        <w:suppressLineNumbers w:val="0"/>
        <w:kinsoku/>
        <w:wordWrap/>
        <w:overflowPunct/>
        <w:autoSpaceDE w:val="0"/>
        <w:autoSpaceDN/>
        <w:bidi w:val="0"/>
        <w:adjustRightInd/>
        <w:snapToGrid/>
        <w:spacing w:line="560" w:lineRule="exact"/>
        <w:ind w:left="0" w:leftChars="0"/>
        <w:jc w:val="center"/>
        <w:textAlignment w:val="auto"/>
        <w:rPr>
          <w:rFonts w:hint="eastAsia" w:ascii="方正小标宋_GBK" w:hAnsi="方正小标宋_GBK" w:eastAsia="方正小标宋_GBK" w:cs="方正小标宋_GBK"/>
          <w:kern w:val="2"/>
          <w:sz w:val="32"/>
          <w:szCs w:val="32"/>
        </w:rPr>
      </w:pPr>
      <w:r>
        <w:rPr>
          <w:rFonts w:hint="eastAsia" w:ascii="方正小标宋_GBK" w:hAnsi="方正小标宋_GBK" w:eastAsia="方正小标宋_GBK" w:cs="方正小标宋_GBK"/>
          <w:kern w:val="2"/>
          <w:sz w:val="44"/>
          <w:szCs w:val="44"/>
        </w:rPr>
        <w:t>新乡市长期护理保险制度实施细则</w:t>
      </w:r>
      <w:r>
        <w:rPr>
          <w:rFonts w:hint="eastAsia" w:ascii="方正小标宋_GBK" w:hAnsi="方正小标宋_GBK" w:eastAsia="方正小标宋_GBK" w:cs="方正小标宋_GBK"/>
          <w:kern w:val="2"/>
          <w:sz w:val="32"/>
          <w:szCs w:val="32"/>
        </w:rPr>
        <w:t xml:space="preserve"> </w:t>
      </w:r>
    </w:p>
    <w:p w14:paraId="474DE625">
      <w:pPr>
        <w:pStyle w:val="2"/>
        <w:keepNext w:val="0"/>
        <w:keepLines w:val="0"/>
        <w:pageBreakBefore w:val="0"/>
        <w:kinsoku/>
        <w:wordWrap/>
        <w:overflowPunct/>
        <w:bidi w:val="0"/>
        <w:adjustRightInd/>
        <w:snapToGrid/>
        <w:spacing w:line="560" w:lineRule="exact"/>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kern w:val="2"/>
          <w:sz w:val="32"/>
          <w:szCs w:val="32"/>
          <w:lang w:eastAsia="zh-CN"/>
        </w:rPr>
        <w:t>（</w:t>
      </w:r>
      <w:r>
        <w:rPr>
          <w:rFonts w:hint="eastAsia" w:ascii="方正楷体_GBK" w:hAnsi="方正楷体_GBK" w:eastAsia="方正楷体_GBK" w:cs="方正楷体_GBK"/>
          <w:kern w:val="2"/>
          <w:sz w:val="32"/>
          <w:szCs w:val="32"/>
          <w:lang w:val="en-US" w:eastAsia="zh-CN"/>
        </w:rPr>
        <w:t>征求意见稿</w:t>
      </w:r>
      <w:r>
        <w:rPr>
          <w:rFonts w:hint="eastAsia" w:ascii="方正楷体_GBK" w:hAnsi="方正楷体_GBK" w:eastAsia="方正楷体_GBK" w:cs="方正楷体_GBK"/>
          <w:kern w:val="2"/>
          <w:sz w:val="32"/>
          <w:szCs w:val="32"/>
          <w:lang w:eastAsia="zh-CN"/>
        </w:rPr>
        <w:t>）</w:t>
      </w:r>
    </w:p>
    <w:p w14:paraId="0A2A8910">
      <w:pPr>
        <w:keepNext w:val="0"/>
        <w:keepLines w:val="0"/>
        <w:pageBreakBefore w:val="0"/>
        <w:widowControl w:val="0"/>
        <w:suppressLineNumbers w:val="0"/>
        <w:kinsoku/>
        <w:wordWrap/>
        <w:overflowPunct/>
        <w:autoSpaceDE w:val="0"/>
        <w:autoSpaceDN/>
        <w:bidi w:val="0"/>
        <w:adjustRightInd/>
        <w:snapToGrid/>
        <w:spacing w:line="560" w:lineRule="exact"/>
        <w:ind w:left="0" w:leftChars="0"/>
        <w:jc w:val="center"/>
        <w:textAlignment w:val="auto"/>
        <w:rPr>
          <w:rFonts w:hint="eastAsia" w:ascii="黑体" w:hAnsi="宋体" w:eastAsia="黑体" w:cs="黑体"/>
          <w:kern w:val="2"/>
          <w:sz w:val="32"/>
          <w:szCs w:val="32"/>
        </w:rPr>
      </w:pPr>
    </w:p>
    <w:p w14:paraId="1BF9ABA4">
      <w:pPr>
        <w:keepNext w:val="0"/>
        <w:keepLines w:val="0"/>
        <w:pageBreakBefore w:val="0"/>
        <w:widowControl w:val="0"/>
        <w:suppressLineNumbers w:val="0"/>
        <w:kinsoku/>
        <w:wordWrap/>
        <w:overflowPunct/>
        <w:autoSpaceDE w:val="0"/>
        <w:autoSpaceDN/>
        <w:bidi w:val="0"/>
        <w:adjustRightInd/>
        <w:snapToGrid/>
        <w:spacing w:line="560" w:lineRule="exact"/>
        <w:ind w:left="0" w:leftChars="0"/>
        <w:jc w:val="center"/>
        <w:textAlignment w:val="auto"/>
        <w:rPr>
          <w:rFonts w:hint="eastAsia" w:ascii="黑体" w:hAnsi="黑体" w:eastAsia="黑体" w:cs="黑体"/>
          <w:kern w:val="2"/>
          <w:sz w:val="32"/>
          <w:szCs w:val="32"/>
        </w:rPr>
      </w:pPr>
      <w:r>
        <w:rPr>
          <w:rFonts w:hint="eastAsia" w:ascii="黑体" w:hAnsi="黑体" w:eastAsia="黑体" w:cs="黑体"/>
          <w:kern w:val="2"/>
          <w:sz w:val="32"/>
          <w:szCs w:val="32"/>
        </w:rPr>
        <w:t>第一章</w:t>
      </w:r>
      <w:r>
        <w:rPr>
          <w:rFonts w:hint="eastAsia" w:ascii="黑体" w:hAnsi="黑体" w:eastAsia="黑体" w:cs="黑体"/>
          <w:kern w:val="2"/>
          <w:sz w:val="32"/>
          <w:szCs w:val="32"/>
          <w:lang w:val="en-US" w:eastAsia="zh-CN"/>
        </w:rPr>
        <w:t xml:space="preserve">  </w:t>
      </w:r>
      <w:r>
        <w:rPr>
          <w:rFonts w:hint="eastAsia" w:ascii="黑体" w:hAnsi="黑体" w:eastAsia="黑体" w:cs="黑体"/>
          <w:kern w:val="2"/>
          <w:sz w:val="32"/>
          <w:szCs w:val="32"/>
        </w:rPr>
        <w:t>总  则</w:t>
      </w:r>
    </w:p>
    <w:p w14:paraId="0D539A4E">
      <w:pPr>
        <w:pStyle w:val="2"/>
        <w:keepNext w:val="0"/>
        <w:keepLines w:val="0"/>
        <w:pageBreakBefore w:val="0"/>
        <w:widowControl w:val="0"/>
        <w:suppressLineNumbers w:val="0"/>
        <w:kinsoku/>
        <w:wordWrap/>
        <w:overflowPunct/>
        <w:autoSpaceDE w:val="0"/>
        <w:autoSpaceDN/>
        <w:bidi w:val="0"/>
        <w:adjustRightInd/>
        <w:snapToGrid/>
        <w:spacing w:line="560" w:lineRule="exact"/>
        <w:ind w:left="0" w:leftChars="0"/>
        <w:textAlignment w:val="auto"/>
        <w:rPr>
          <w:rFonts w:hint="eastAsia" w:ascii="Calibri" w:hAnsi="Calibri" w:eastAsia="宋体" w:cs="Times New Roman"/>
          <w:kern w:val="2"/>
          <w:sz w:val="32"/>
          <w:szCs w:val="32"/>
        </w:rPr>
      </w:pPr>
      <w:r>
        <w:rPr>
          <w:rFonts w:hint="eastAsia" w:ascii="Calibri" w:hAnsi="Calibri" w:eastAsia="宋体" w:cs="Times New Roman"/>
          <w:kern w:val="2"/>
          <w:sz w:val="21"/>
          <w:szCs w:val="21"/>
        </w:rPr>
        <w:t xml:space="preserve"> </w:t>
      </w:r>
    </w:p>
    <w:p w14:paraId="47759DD3">
      <w:pPr>
        <w:keepNext w:val="0"/>
        <w:keepLines w:val="0"/>
        <w:pageBreakBefore w:val="0"/>
        <w:widowControl w:val="0"/>
        <w:suppressLineNumbers w:val="0"/>
        <w:kinsoku/>
        <w:wordWrap/>
        <w:overflowPunct/>
        <w:autoSpaceDE w:val="0"/>
        <w:autoSpaceDN/>
        <w:bidi w:val="0"/>
        <w:adjustRightInd/>
        <w:snapToGrid/>
        <w:spacing w:line="560" w:lineRule="exact"/>
        <w:ind w:left="0" w:leftChars="0" w:right="0" w:rightChars="0"/>
        <w:textAlignment w:val="auto"/>
        <w:rPr>
          <w:rFonts w:hint="eastAsia" w:ascii="仿宋_GB2312" w:hAnsi="仿宋_GB2312" w:eastAsia="仿宋_GB2312" w:cs="仿宋_GB2312"/>
          <w:kern w:val="2"/>
          <w:sz w:val="32"/>
          <w:szCs w:val="32"/>
        </w:rPr>
      </w:pPr>
      <w:r>
        <w:rPr>
          <w:rFonts w:hint="eastAsia" w:ascii="仿宋_GB2312" w:hAnsi="Calibri" w:eastAsia="仿宋_GB2312" w:cs="仿宋_GB2312"/>
          <w:kern w:val="2"/>
          <w:sz w:val="32"/>
          <w:szCs w:val="32"/>
        </w:rPr>
        <w:t xml:space="preserve">    </w:t>
      </w:r>
      <w:r>
        <w:rPr>
          <w:rFonts w:hint="eastAsia" w:ascii="黑体" w:hAnsi="宋体" w:eastAsia="黑体" w:cs="黑体"/>
          <w:kern w:val="2"/>
          <w:sz w:val="32"/>
          <w:szCs w:val="32"/>
        </w:rPr>
        <w:t>第一条</w:t>
      </w:r>
      <w:r>
        <w:rPr>
          <w:rFonts w:hint="eastAsia" w:ascii="黑体" w:hAnsi="宋体" w:eastAsia="黑体" w:cs="黑体"/>
          <w:kern w:val="2"/>
          <w:sz w:val="32"/>
          <w:szCs w:val="32"/>
          <w:lang w:val="en-US" w:eastAsia="zh-CN"/>
        </w:rPr>
        <w:t xml:space="preserve">  </w:t>
      </w:r>
      <w:r>
        <w:rPr>
          <w:rFonts w:hint="eastAsia" w:ascii="仿宋_GB2312" w:hAnsi="仿宋_GB2312" w:eastAsia="仿宋_GB2312" w:cs="仿宋_GB2312"/>
          <w:kern w:val="2"/>
          <w:sz w:val="32"/>
          <w:szCs w:val="32"/>
        </w:rPr>
        <w:t>为贯彻落实党中央</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国务院关于加快建立长期护理保险制度的</w:t>
      </w:r>
      <w:r>
        <w:rPr>
          <w:rFonts w:hint="eastAsia" w:ascii="仿宋_GB2312" w:hAnsi="仿宋_GB2312" w:eastAsia="仿宋_GB2312" w:cs="仿宋_GB2312"/>
          <w:kern w:val="2"/>
          <w:sz w:val="32"/>
          <w:szCs w:val="32"/>
          <w:lang w:val="en-US" w:eastAsia="zh-CN"/>
        </w:rPr>
        <w:t>决策部署</w:t>
      </w:r>
      <w:r>
        <w:rPr>
          <w:rFonts w:hint="eastAsia" w:ascii="仿宋_GB2312" w:hAnsi="仿宋_GB2312" w:eastAsia="仿宋_GB2312" w:cs="仿宋_GB2312"/>
          <w:kern w:val="2"/>
          <w:sz w:val="32"/>
          <w:szCs w:val="32"/>
        </w:rPr>
        <w:t>，做好我市长期护理保险制度</w:t>
      </w:r>
      <w:r>
        <w:rPr>
          <w:rFonts w:hint="eastAsia" w:ascii="仿宋_GB2312" w:hAnsi="仿宋_GB2312" w:eastAsia="仿宋_GB2312" w:cs="仿宋_GB2312"/>
          <w:kern w:val="2"/>
          <w:sz w:val="32"/>
          <w:szCs w:val="32"/>
          <w:lang w:val="en-US" w:eastAsia="zh-CN"/>
        </w:rPr>
        <w:t>建立</w:t>
      </w:r>
      <w:r>
        <w:rPr>
          <w:rFonts w:hint="eastAsia" w:ascii="仿宋_GB2312" w:hAnsi="仿宋_GB2312" w:eastAsia="仿宋_GB2312" w:cs="仿宋_GB2312"/>
          <w:kern w:val="2"/>
          <w:sz w:val="32"/>
          <w:szCs w:val="32"/>
        </w:rPr>
        <w:t>工作，根据《中共中央办公厅 国务院办公厅关于加快建立长期护理保险制度的意见》（厅字〔2025〕19号）、《河南省人民政府办公厅关于印发河南省建立长期护理保险制度实施方案的通知》（豫政办〔2026〕24号）等文件精神，结合我市实际，制定本实施</w:t>
      </w:r>
      <w:r>
        <w:rPr>
          <w:rFonts w:hint="eastAsia" w:ascii="仿宋_GB2312" w:hAnsi="仿宋_GB2312" w:eastAsia="仿宋_GB2312" w:cs="仿宋_GB2312"/>
          <w:kern w:val="2"/>
          <w:sz w:val="32"/>
          <w:szCs w:val="32"/>
          <w:lang w:val="en-US" w:eastAsia="zh-CN"/>
        </w:rPr>
        <w:t>细则</w:t>
      </w:r>
      <w:r>
        <w:rPr>
          <w:rFonts w:hint="eastAsia" w:ascii="仿宋_GB2312" w:hAnsi="仿宋_GB2312" w:eastAsia="仿宋_GB2312" w:cs="仿宋_GB2312"/>
          <w:kern w:val="2"/>
          <w:sz w:val="32"/>
          <w:szCs w:val="32"/>
        </w:rPr>
        <w:t>。</w:t>
      </w:r>
    </w:p>
    <w:p w14:paraId="4C95683A">
      <w:pPr>
        <w:keepNext w:val="0"/>
        <w:keepLines w:val="0"/>
        <w:pageBreakBefore w:val="0"/>
        <w:widowControl w:val="0"/>
        <w:suppressLineNumbers w:val="0"/>
        <w:kinsoku/>
        <w:wordWrap/>
        <w:overflowPunct/>
        <w:autoSpaceDE w:val="0"/>
        <w:autoSpaceDN/>
        <w:bidi w:val="0"/>
        <w:adjustRightInd/>
        <w:snapToGrid/>
        <w:spacing w:line="560" w:lineRule="exact"/>
        <w:ind w:left="0" w:leftChars="0" w:right="0" w:rightChars="0" w:firstLine="640"/>
        <w:textAlignment w:val="auto"/>
        <w:rPr>
          <w:rFonts w:hint="eastAsia" w:ascii="仿宋_GB2312" w:hAnsi="Calibri" w:eastAsia="仿宋_GB2312" w:cs="仿宋_GB2312"/>
          <w:kern w:val="2"/>
          <w:sz w:val="32"/>
          <w:szCs w:val="32"/>
        </w:rPr>
      </w:pPr>
      <w:r>
        <w:rPr>
          <w:rFonts w:hint="eastAsia" w:ascii="黑体" w:hAnsi="宋体" w:eastAsia="黑体" w:cs="黑体"/>
          <w:kern w:val="2"/>
          <w:sz w:val="32"/>
          <w:szCs w:val="32"/>
        </w:rPr>
        <w:t>第二条</w:t>
      </w:r>
      <w:r>
        <w:rPr>
          <w:rFonts w:hint="eastAsia" w:ascii="黑体" w:hAnsi="宋体" w:eastAsia="黑体" w:cs="黑体"/>
          <w:kern w:val="2"/>
          <w:sz w:val="32"/>
          <w:szCs w:val="32"/>
          <w:lang w:val="en-US" w:eastAsia="zh-CN"/>
        </w:rPr>
        <w:t xml:space="preserve">  </w:t>
      </w:r>
      <w:r>
        <w:rPr>
          <w:rFonts w:hint="eastAsia" w:ascii="仿宋_GB2312" w:hAnsi="Calibri" w:eastAsia="仿宋_GB2312" w:cs="仿宋_GB2312"/>
          <w:kern w:val="2"/>
          <w:sz w:val="32"/>
          <w:szCs w:val="32"/>
        </w:rPr>
        <w:t>本</w:t>
      </w:r>
      <w:r>
        <w:rPr>
          <w:rFonts w:hint="eastAsia" w:ascii="仿宋_GB2312" w:eastAsia="仿宋_GB2312" w:cs="仿宋_GB2312"/>
          <w:kern w:val="2"/>
          <w:sz w:val="32"/>
          <w:szCs w:val="32"/>
          <w:lang w:val="en-US" w:eastAsia="zh-CN"/>
        </w:rPr>
        <w:t>细则</w:t>
      </w:r>
      <w:r>
        <w:rPr>
          <w:rFonts w:hint="eastAsia" w:ascii="仿宋_GB2312" w:hAnsi="Calibri" w:eastAsia="仿宋_GB2312" w:cs="仿宋_GB2312"/>
          <w:kern w:val="2"/>
          <w:sz w:val="32"/>
          <w:szCs w:val="32"/>
        </w:rPr>
        <w:t>所称的长期护理保险制度，是指为长期失能人员的基本生活照料和与之密切相关的医疗护理提供服务或资金保障的社会保险制度。</w:t>
      </w:r>
    </w:p>
    <w:p w14:paraId="7BAF7C87">
      <w:pPr>
        <w:keepNext w:val="0"/>
        <w:keepLines w:val="0"/>
        <w:pageBreakBefore w:val="0"/>
        <w:widowControl w:val="0"/>
        <w:suppressLineNumbers w:val="0"/>
        <w:kinsoku/>
        <w:wordWrap/>
        <w:overflowPunct/>
        <w:autoSpaceDE w:val="0"/>
        <w:autoSpaceDN/>
        <w:bidi w:val="0"/>
        <w:adjustRightInd/>
        <w:snapToGrid/>
        <w:spacing w:line="560" w:lineRule="exact"/>
        <w:ind w:left="0" w:leftChars="0" w:firstLine="640"/>
        <w:textAlignment w:val="auto"/>
        <w:rPr>
          <w:rFonts w:hint="eastAsia" w:ascii="仿宋_GB2312" w:hAnsi="仿宋_GB2312" w:eastAsia="仿宋_GB2312" w:cs="仿宋_GB2312"/>
          <w:b w:val="0"/>
          <w:bCs w:val="0"/>
          <w:kern w:val="2"/>
          <w:sz w:val="32"/>
          <w:szCs w:val="32"/>
          <w:lang w:val="en-US" w:eastAsia="zh-CN"/>
        </w:rPr>
      </w:pPr>
      <w:r>
        <w:rPr>
          <w:rFonts w:hint="eastAsia" w:ascii="黑体" w:hAnsi="宋体" w:eastAsia="黑体" w:cs="黑体"/>
          <w:b w:val="0"/>
          <w:bCs w:val="0"/>
          <w:kern w:val="2"/>
          <w:sz w:val="32"/>
          <w:szCs w:val="32"/>
          <w:lang w:val="en-US" w:eastAsia="zh-CN"/>
        </w:rPr>
        <w:t xml:space="preserve">第三条  </w:t>
      </w:r>
      <w:r>
        <w:rPr>
          <w:rFonts w:hint="eastAsia" w:ascii="仿宋_GB2312" w:hAnsi="仿宋_GB2312" w:eastAsia="仿宋_GB2312" w:cs="仿宋_GB2312"/>
          <w:b w:val="0"/>
          <w:bCs w:val="0"/>
          <w:kern w:val="2"/>
          <w:sz w:val="32"/>
          <w:szCs w:val="32"/>
          <w:lang w:val="en-US" w:eastAsia="zh-CN"/>
        </w:rPr>
        <w:t>用人单位（包括企业、事业单位、机关、社会组织）以及单位职工、退休人员、灵活就业人员和未就业城乡居民等按照属地管理原则，参加长期护理保险。</w:t>
      </w:r>
    </w:p>
    <w:p w14:paraId="6C5FE0CA">
      <w:pPr>
        <w:keepNext w:val="0"/>
        <w:keepLines w:val="0"/>
        <w:pageBreakBefore w:val="0"/>
        <w:widowControl w:val="0"/>
        <w:suppressLineNumbers w:val="0"/>
        <w:kinsoku/>
        <w:wordWrap/>
        <w:overflowPunct/>
        <w:autoSpaceDE w:val="0"/>
        <w:autoSpaceDN/>
        <w:bidi w:val="0"/>
        <w:adjustRightInd/>
        <w:snapToGrid/>
        <w:spacing w:line="560" w:lineRule="exact"/>
        <w:ind w:left="0" w:leftChars="0" w:firstLine="640"/>
        <w:textAlignment w:val="auto"/>
        <w:rPr>
          <w:rFonts w:hint="eastAsia" w:ascii="仿宋_GB2312" w:hAnsi="仿宋_GB2312" w:eastAsia="仿宋_GB2312" w:cs="仿宋_GB2312"/>
          <w:kern w:val="2"/>
          <w:sz w:val="32"/>
          <w:szCs w:val="32"/>
        </w:rPr>
      </w:pPr>
      <w:r>
        <w:rPr>
          <w:rFonts w:hint="eastAsia" w:ascii="黑体" w:hAnsi="宋体" w:eastAsia="黑体" w:cs="黑体"/>
          <w:b w:val="0"/>
          <w:bCs w:val="0"/>
          <w:kern w:val="2"/>
          <w:sz w:val="32"/>
          <w:szCs w:val="32"/>
        </w:rPr>
        <w:t>第</w:t>
      </w:r>
      <w:r>
        <w:rPr>
          <w:rFonts w:hint="eastAsia" w:ascii="黑体" w:hAnsi="宋体" w:eastAsia="黑体" w:cs="黑体"/>
          <w:b w:val="0"/>
          <w:bCs w:val="0"/>
          <w:kern w:val="2"/>
          <w:sz w:val="32"/>
          <w:szCs w:val="32"/>
          <w:lang w:val="en-US" w:eastAsia="zh-CN"/>
        </w:rPr>
        <w:t>四</w:t>
      </w:r>
      <w:r>
        <w:rPr>
          <w:rFonts w:hint="eastAsia" w:ascii="黑体" w:hAnsi="宋体" w:eastAsia="黑体" w:cs="黑体"/>
          <w:b w:val="0"/>
          <w:bCs w:val="0"/>
          <w:kern w:val="2"/>
          <w:sz w:val="32"/>
          <w:szCs w:val="32"/>
        </w:rPr>
        <w:t>条</w:t>
      </w:r>
      <w:r>
        <w:rPr>
          <w:rFonts w:hint="eastAsia" w:ascii="黑体" w:hAnsi="宋体" w:eastAsia="黑体" w:cs="黑体"/>
          <w:b w:val="0"/>
          <w:bCs w:val="0"/>
          <w:kern w:val="2"/>
          <w:sz w:val="32"/>
          <w:szCs w:val="32"/>
          <w:lang w:val="en-US" w:eastAsia="zh-CN"/>
        </w:rPr>
        <w:t xml:space="preserve">  </w:t>
      </w:r>
      <w:r>
        <w:rPr>
          <w:rFonts w:hint="eastAsia" w:ascii="仿宋_GB2312" w:hAnsi="仿宋_GB2312" w:eastAsia="仿宋_GB2312" w:cs="仿宋_GB2312"/>
          <w:b w:val="0"/>
          <w:bCs w:val="0"/>
          <w:kern w:val="2"/>
          <w:sz w:val="32"/>
          <w:szCs w:val="32"/>
        </w:rPr>
        <w:t>长期护理保险为独立险种，</w:t>
      </w:r>
      <w:r>
        <w:rPr>
          <w:rFonts w:hint="eastAsia" w:ascii="仿宋_GB2312" w:hAnsi="仿宋_GB2312" w:eastAsia="仿宋_GB2312" w:cs="仿宋_GB2312"/>
          <w:kern w:val="2"/>
          <w:sz w:val="32"/>
          <w:szCs w:val="32"/>
        </w:rPr>
        <w:t>建立</w:t>
      </w:r>
      <w:r>
        <w:rPr>
          <w:rFonts w:hint="eastAsia" w:ascii="仿宋_GB2312" w:hAnsi="仿宋_GB2312" w:eastAsia="仿宋_GB2312" w:cs="仿宋_GB2312"/>
          <w:b w:val="0"/>
          <w:bCs w:val="0"/>
          <w:kern w:val="2"/>
          <w:sz w:val="32"/>
          <w:szCs w:val="32"/>
        </w:rPr>
        <w:t>就业人员和未就业人员共同的</w:t>
      </w:r>
      <w:r>
        <w:rPr>
          <w:rFonts w:hint="eastAsia" w:ascii="仿宋_GB2312" w:hAnsi="仿宋_GB2312" w:eastAsia="仿宋_GB2312" w:cs="仿宋_GB2312"/>
          <w:kern w:val="2"/>
          <w:sz w:val="32"/>
          <w:szCs w:val="32"/>
        </w:rPr>
        <w:t>长期护理保险基金（以下简称基金）账户，资金统筹使用。依据缴费标准不同，待遇标准分就业人员和非就业人员两类设置。</w:t>
      </w:r>
    </w:p>
    <w:p w14:paraId="6A04DFE7">
      <w:pPr>
        <w:pStyle w:val="2"/>
        <w:keepNext w:val="0"/>
        <w:keepLines w:val="0"/>
        <w:pageBreakBefore w:val="0"/>
        <w:widowControl w:val="0"/>
        <w:suppressLineNumbers w:val="0"/>
        <w:kinsoku/>
        <w:wordWrap/>
        <w:overflowPunct/>
        <w:autoSpaceDE w:val="0"/>
        <w:autoSpaceDN/>
        <w:bidi w:val="0"/>
        <w:adjustRightInd/>
        <w:snapToGrid/>
        <w:spacing w:line="560" w:lineRule="exact"/>
        <w:ind w:left="0" w:leftChars="0" w:right="0" w:rightChars="0" w:firstLine="640"/>
        <w:jc w:val="both"/>
        <w:textAlignment w:val="auto"/>
        <w:rPr>
          <w:rFonts w:hint="eastAsia" w:ascii="仿宋_GB2312" w:hAnsi="Calibri" w:eastAsia="仿宋_GB2312" w:cs="仿宋_GB2312"/>
          <w:kern w:val="2"/>
          <w:sz w:val="32"/>
          <w:szCs w:val="32"/>
        </w:rPr>
      </w:pPr>
      <w:r>
        <w:rPr>
          <w:rFonts w:hint="eastAsia" w:ascii="黑体" w:hAnsi="宋体" w:eastAsia="黑体" w:cs="黑体"/>
          <w:kern w:val="2"/>
          <w:sz w:val="32"/>
          <w:szCs w:val="32"/>
        </w:rPr>
        <w:t>第</w:t>
      </w:r>
      <w:r>
        <w:rPr>
          <w:rFonts w:hint="eastAsia" w:ascii="黑体" w:hAnsi="宋体" w:eastAsia="黑体" w:cs="黑体"/>
          <w:kern w:val="2"/>
          <w:sz w:val="32"/>
          <w:szCs w:val="32"/>
          <w:lang w:val="en-US" w:eastAsia="zh-CN"/>
        </w:rPr>
        <w:t>五</w:t>
      </w:r>
      <w:r>
        <w:rPr>
          <w:rFonts w:hint="eastAsia" w:ascii="黑体" w:hAnsi="宋体" w:eastAsia="黑体" w:cs="黑体"/>
          <w:kern w:val="2"/>
          <w:sz w:val="32"/>
          <w:szCs w:val="32"/>
        </w:rPr>
        <w:t>条</w:t>
      </w:r>
      <w:r>
        <w:rPr>
          <w:rFonts w:hint="eastAsia" w:ascii="黑体" w:hAnsi="宋体" w:eastAsia="黑体" w:cs="黑体"/>
          <w:kern w:val="2"/>
          <w:sz w:val="32"/>
          <w:szCs w:val="32"/>
          <w:lang w:val="en-US" w:eastAsia="zh-CN"/>
        </w:rPr>
        <w:t xml:space="preserve">  </w:t>
      </w:r>
      <w:r>
        <w:rPr>
          <w:rFonts w:hint="eastAsia" w:ascii="仿宋_GB2312" w:hAnsi="仿宋_GB2312" w:eastAsia="仿宋_GB2312" w:cs="仿宋_GB2312"/>
          <w:b w:val="0"/>
          <w:bCs w:val="0"/>
          <w:kern w:val="2"/>
          <w:sz w:val="32"/>
          <w:szCs w:val="32"/>
          <w:lang w:val="en-US" w:eastAsia="zh-CN" w:bidi="ar-SA"/>
        </w:rPr>
        <w:t xml:space="preserve">坚持稳中求进工作总基调，坚持公平适度、保障基本、统筹有序，按照“覆盖全民、统筹城乡、公平统一、安全规范、可持续”的总要求，建立我市长期护理保险制度。长期护理保险从市级统筹起步，统筹区内制度政策统一、基金统收统支、管理服务一体。    </w:t>
      </w:r>
    </w:p>
    <w:p w14:paraId="36CDBE10">
      <w:pPr>
        <w:pStyle w:val="2"/>
        <w:keepNext w:val="0"/>
        <w:keepLines w:val="0"/>
        <w:pageBreakBefore w:val="0"/>
        <w:widowControl w:val="0"/>
        <w:suppressLineNumbers w:val="0"/>
        <w:kinsoku/>
        <w:wordWrap/>
        <w:overflowPunct/>
        <w:autoSpaceDE w:val="0"/>
        <w:autoSpaceDN/>
        <w:bidi w:val="0"/>
        <w:adjustRightInd/>
        <w:snapToGrid/>
        <w:spacing w:line="560" w:lineRule="exact"/>
        <w:ind w:left="0" w:leftChars="0" w:right="0" w:rightChars="0" w:firstLine="64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黑体" w:hAnsi="宋体" w:eastAsia="黑体" w:cs="黑体"/>
          <w:kern w:val="2"/>
          <w:sz w:val="32"/>
          <w:szCs w:val="32"/>
        </w:rPr>
        <w:t>第</w:t>
      </w:r>
      <w:r>
        <w:rPr>
          <w:rFonts w:hint="eastAsia" w:ascii="黑体" w:hAnsi="宋体" w:eastAsia="黑体" w:cs="黑体"/>
          <w:kern w:val="2"/>
          <w:sz w:val="32"/>
          <w:szCs w:val="32"/>
          <w:lang w:val="en-US" w:eastAsia="zh-CN"/>
        </w:rPr>
        <w:t>六</w:t>
      </w:r>
      <w:r>
        <w:rPr>
          <w:rFonts w:hint="eastAsia" w:ascii="黑体" w:hAnsi="宋体" w:eastAsia="黑体" w:cs="黑体"/>
          <w:kern w:val="2"/>
          <w:sz w:val="32"/>
          <w:szCs w:val="32"/>
        </w:rPr>
        <w:t>条</w:t>
      </w:r>
      <w:r>
        <w:rPr>
          <w:rFonts w:hint="eastAsia" w:ascii="黑体" w:hAnsi="宋体" w:eastAsia="黑体" w:cs="黑体"/>
          <w:kern w:val="2"/>
          <w:sz w:val="32"/>
          <w:szCs w:val="32"/>
          <w:lang w:val="en-US" w:eastAsia="zh-CN"/>
        </w:rPr>
        <w:t xml:space="preserve">  </w:t>
      </w:r>
      <w:r>
        <w:rPr>
          <w:rFonts w:hint="eastAsia" w:ascii="仿宋_GB2312" w:hAnsi="仿宋_GB2312" w:eastAsia="仿宋_GB2312" w:cs="仿宋_GB2312"/>
          <w:b w:val="0"/>
          <w:bCs w:val="0"/>
          <w:kern w:val="2"/>
          <w:sz w:val="32"/>
          <w:szCs w:val="32"/>
          <w:lang w:val="en-US" w:eastAsia="zh-CN" w:bidi="ar-SA"/>
        </w:rPr>
        <w:t>长期护理保险制度实施从覆盖单位职工、退休人员、灵活就业人员等人群起步，逐步将未就业城乡居民纳入保障范围。2026年，我市启动实施就业人员长期护理保险制度；2027年，启动实施未就业城乡居民长期护理保险制度。</w:t>
      </w:r>
    </w:p>
    <w:p w14:paraId="3A09BD79">
      <w:pPr>
        <w:keepNext w:val="0"/>
        <w:keepLines w:val="0"/>
        <w:pageBreakBefore w:val="0"/>
        <w:widowControl w:val="0"/>
        <w:suppressLineNumbers w:val="0"/>
        <w:kinsoku/>
        <w:wordWrap/>
        <w:overflowPunct/>
        <w:autoSpaceDE w:val="0"/>
        <w:autoSpaceDN/>
        <w:bidi w:val="0"/>
        <w:adjustRightInd/>
        <w:snapToGrid/>
        <w:spacing w:line="560" w:lineRule="exact"/>
        <w:ind w:left="0" w:leftChars="0" w:right="0" w:rightChars="0"/>
        <w:textAlignment w:val="auto"/>
        <w:rPr>
          <w:rFonts w:hint="eastAsia" w:ascii="Calibri" w:hAnsi="Calibri" w:eastAsia="宋体" w:cs="Times New Roman"/>
          <w:kern w:val="2"/>
          <w:sz w:val="32"/>
          <w:szCs w:val="32"/>
        </w:rPr>
      </w:pPr>
      <w:r>
        <w:rPr>
          <w:rFonts w:hint="eastAsia" w:ascii="黑体" w:hAnsi="宋体" w:eastAsia="黑体" w:cs="黑体"/>
          <w:kern w:val="2"/>
          <w:sz w:val="32"/>
          <w:szCs w:val="32"/>
        </w:rPr>
        <w:t xml:space="preserve">   </w:t>
      </w:r>
      <w:r>
        <w:rPr>
          <w:rFonts w:hint="eastAsia" w:ascii="Calibri" w:hAnsi="Calibri" w:eastAsia="宋体" w:cs="Times New Roman"/>
          <w:kern w:val="2"/>
          <w:sz w:val="21"/>
          <w:szCs w:val="21"/>
        </w:rPr>
        <w:t xml:space="preserve"> </w:t>
      </w:r>
    </w:p>
    <w:p w14:paraId="36BE7D0C">
      <w:pPr>
        <w:keepNext w:val="0"/>
        <w:keepLines w:val="0"/>
        <w:pageBreakBefore w:val="0"/>
        <w:widowControl w:val="0"/>
        <w:suppressLineNumbers w:val="0"/>
        <w:kinsoku/>
        <w:wordWrap/>
        <w:overflowPunct/>
        <w:autoSpaceDE w:val="0"/>
        <w:autoSpaceDN/>
        <w:bidi w:val="0"/>
        <w:adjustRightInd/>
        <w:snapToGrid/>
        <w:spacing w:line="560" w:lineRule="exact"/>
        <w:ind w:left="0" w:leftChars="0"/>
        <w:jc w:val="center"/>
        <w:textAlignment w:val="auto"/>
        <w:rPr>
          <w:rFonts w:hint="default" w:ascii="黑体" w:hAnsi="宋体" w:eastAsia="黑体" w:cs="黑体"/>
          <w:kern w:val="2"/>
          <w:sz w:val="32"/>
          <w:szCs w:val="32"/>
          <w:lang w:val="en-US" w:eastAsia="zh-CN"/>
        </w:rPr>
      </w:pPr>
      <w:r>
        <w:rPr>
          <w:rFonts w:hint="eastAsia" w:ascii="黑体" w:hAnsi="宋体" w:eastAsia="黑体" w:cs="黑体"/>
          <w:kern w:val="2"/>
          <w:sz w:val="32"/>
          <w:szCs w:val="32"/>
        </w:rPr>
        <w:t>第</w:t>
      </w:r>
      <w:r>
        <w:rPr>
          <w:rFonts w:hint="eastAsia" w:ascii="黑体" w:hAnsi="宋体" w:eastAsia="黑体" w:cs="黑体"/>
          <w:kern w:val="2"/>
          <w:sz w:val="32"/>
          <w:szCs w:val="32"/>
          <w:lang w:val="en-US" w:eastAsia="zh-CN"/>
        </w:rPr>
        <w:t>二</w:t>
      </w:r>
      <w:r>
        <w:rPr>
          <w:rFonts w:hint="eastAsia" w:ascii="黑体" w:hAnsi="宋体" w:eastAsia="黑体" w:cs="黑体"/>
          <w:kern w:val="2"/>
          <w:sz w:val="32"/>
          <w:szCs w:val="32"/>
        </w:rPr>
        <w:t>章</w:t>
      </w:r>
      <w:r>
        <w:rPr>
          <w:rFonts w:hint="eastAsia" w:ascii="黑体" w:hAnsi="宋体" w:eastAsia="黑体" w:cs="黑体"/>
          <w:kern w:val="2"/>
          <w:sz w:val="32"/>
          <w:szCs w:val="32"/>
          <w:lang w:val="en-US" w:eastAsia="zh-CN"/>
        </w:rPr>
        <w:t xml:space="preserve">  筹资机制</w:t>
      </w:r>
    </w:p>
    <w:p w14:paraId="773C34C8">
      <w:pPr>
        <w:pStyle w:val="2"/>
        <w:keepNext w:val="0"/>
        <w:keepLines w:val="0"/>
        <w:pageBreakBefore w:val="0"/>
        <w:widowControl w:val="0"/>
        <w:suppressLineNumbers w:val="0"/>
        <w:kinsoku/>
        <w:wordWrap/>
        <w:overflowPunct/>
        <w:autoSpaceDE w:val="0"/>
        <w:autoSpaceDN/>
        <w:bidi w:val="0"/>
        <w:adjustRightInd/>
        <w:snapToGrid/>
        <w:spacing w:line="560" w:lineRule="exact"/>
        <w:ind w:left="0" w:leftChars="0"/>
        <w:textAlignment w:val="auto"/>
        <w:rPr>
          <w:rFonts w:hint="eastAsia" w:ascii="黑体" w:hAnsi="宋体" w:eastAsia="黑体" w:cs="黑体"/>
          <w:kern w:val="2"/>
          <w:sz w:val="32"/>
          <w:szCs w:val="32"/>
        </w:rPr>
      </w:pPr>
      <w:r>
        <w:rPr>
          <w:rFonts w:hint="eastAsia" w:ascii="黑体" w:hAnsi="宋体" w:eastAsia="黑体" w:cs="黑体"/>
          <w:kern w:val="2"/>
          <w:sz w:val="21"/>
          <w:szCs w:val="21"/>
        </w:rPr>
        <w:t xml:space="preserve"> </w:t>
      </w:r>
    </w:p>
    <w:p w14:paraId="72E7007A">
      <w:pPr>
        <w:keepNext w:val="0"/>
        <w:keepLines w:val="0"/>
        <w:pageBreakBefore w:val="0"/>
        <w:widowControl w:val="0"/>
        <w:suppressLineNumbers w:val="0"/>
        <w:kinsoku/>
        <w:wordWrap/>
        <w:overflowPunct/>
        <w:autoSpaceDE w:val="0"/>
        <w:autoSpaceDN/>
        <w:bidi w:val="0"/>
        <w:adjustRightInd/>
        <w:snapToGrid/>
        <w:spacing w:line="560" w:lineRule="exact"/>
        <w:ind w:left="0" w:leftChars="0" w:firstLine="640"/>
        <w:textAlignment w:val="auto"/>
        <w:rPr>
          <w:rFonts w:hint="eastAsia" w:ascii="仿宋_GB2312" w:hAnsi="仿宋_GB2312" w:eastAsia="仿宋_GB2312" w:cs="仿宋_GB2312"/>
          <w:b w:val="0"/>
          <w:bCs w:val="0"/>
          <w:kern w:val="2"/>
          <w:sz w:val="32"/>
          <w:szCs w:val="32"/>
        </w:rPr>
      </w:pPr>
      <w:r>
        <w:rPr>
          <w:rFonts w:hint="eastAsia" w:ascii="黑体" w:hAnsi="宋体" w:eastAsia="黑体" w:cs="黑体"/>
          <w:kern w:val="2"/>
          <w:sz w:val="32"/>
          <w:szCs w:val="32"/>
        </w:rPr>
        <w:t>第</w:t>
      </w:r>
      <w:r>
        <w:rPr>
          <w:rFonts w:hint="eastAsia" w:ascii="黑体" w:hAnsi="宋体" w:eastAsia="黑体" w:cs="黑体"/>
          <w:kern w:val="2"/>
          <w:sz w:val="32"/>
          <w:szCs w:val="32"/>
          <w:lang w:val="en-US" w:eastAsia="zh-CN"/>
        </w:rPr>
        <w:t>七</w:t>
      </w:r>
      <w:r>
        <w:rPr>
          <w:rFonts w:hint="eastAsia" w:ascii="黑体" w:hAnsi="宋体" w:eastAsia="黑体" w:cs="黑体"/>
          <w:kern w:val="2"/>
          <w:sz w:val="32"/>
          <w:szCs w:val="32"/>
        </w:rPr>
        <w:t>条</w:t>
      </w:r>
      <w:r>
        <w:rPr>
          <w:rFonts w:hint="eastAsia" w:ascii="黑体" w:hAnsi="宋体" w:eastAsia="黑体" w:cs="黑体"/>
          <w:kern w:val="2"/>
          <w:sz w:val="32"/>
          <w:szCs w:val="32"/>
          <w:lang w:val="en-US" w:eastAsia="zh-CN"/>
        </w:rPr>
        <w:t xml:space="preserve">  </w:t>
      </w:r>
      <w:r>
        <w:rPr>
          <w:rFonts w:hint="eastAsia" w:ascii="仿宋_GB2312" w:hAnsi="仿宋_GB2312" w:eastAsia="仿宋_GB2312" w:cs="仿宋_GB2312"/>
          <w:b w:val="0"/>
          <w:bCs w:val="0"/>
          <w:kern w:val="2"/>
          <w:sz w:val="32"/>
          <w:szCs w:val="32"/>
        </w:rPr>
        <w:t>用人单位以及单位职工、退休人员、灵活就业人员和未就业城乡居民按规定缴费参加长期护理保险，与基本医疗保险费同步缴纳。</w:t>
      </w:r>
    </w:p>
    <w:p w14:paraId="20272292">
      <w:pPr>
        <w:keepNext w:val="0"/>
        <w:keepLines w:val="0"/>
        <w:pageBreakBefore w:val="0"/>
        <w:widowControl w:val="0"/>
        <w:suppressLineNumbers w:val="0"/>
        <w:kinsoku/>
        <w:wordWrap/>
        <w:overflowPunct/>
        <w:autoSpaceDE w:val="0"/>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rPr>
      </w:pPr>
      <w:r>
        <w:rPr>
          <w:rFonts w:hint="eastAsia" w:ascii="方正楷体_GBK" w:hAnsi="方正楷体_GBK" w:eastAsia="方正楷体_GBK" w:cs="方正楷体_GBK"/>
          <w:b w:val="0"/>
          <w:bCs w:val="0"/>
          <w:kern w:val="2"/>
          <w:sz w:val="32"/>
          <w:szCs w:val="32"/>
        </w:rPr>
        <w:t>（一）</w:t>
      </w:r>
      <w:r>
        <w:rPr>
          <w:rFonts w:hint="eastAsia" w:ascii="方正楷体_GBK" w:hAnsi="方正楷体_GBK" w:eastAsia="方正楷体_GBK" w:cs="方正楷体_GBK"/>
          <w:color w:val="000000"/>
          <w:sz w:val="32"/>
        </w:rPr>
        <w:t>单位在职职工</w:t>
      </w:r>
      <w:r>
        <w:rPr>
          <w:rFonts w:hint="eastAsia" w:ascii="方正楷体_GBK" w:hAnsi="方正楷体_GBK" w:eastAsia="方正楷体_GBK" w:cs="方正楷体_GBK"/>
          <w:b w:val="0"/>
          <w:bCs w:val="0"/>
          <w:kern w:val="2"/>
          <w:sz w:val="32"/>
          <w:szCs w:val="32"/>
        </w:rPr>
        <w:t>。</w:t>
      </w:r>
      <w:r>
        <w:rPr>
          <w:rFonts w:hint="eastAsia" w:ascii="仿宋_GB2312" w:hAnsi="仿宋_GB2312" w:eastAsia="仿宋_GB2312" w:cs="仿宋_GB2312"/>
          <w:b w:val="0"/>
          <w:bCs w:val="0"/>
          <w:kern w:val="2"/>
          <w:sz w:val="32"/>
          <w:szCs w:val="32"/>
        </w:rPr>
        <w:t>单位</w:t>
      </w:r>
      <w:r>
        <w:rPr>
          <w:rFonts w:hint="eastAsia" w:ascii="仿宋_GB2312" w:hAnsi="仿宋_GB2312" w:eastAsia="仿宋_GB2312" w:cs="仿宋_GB2312"/>
          <w:b w:val="0"/>
          <w:bCs w:val="0"/>
          <w:kern w:val="2"/>
          <w:sz w:val="32"/>
          <w:szCs w:val="32"/>
          <w:lang w:val="en-US" w:eastAsia="zh-CN"/>
        </w:rPr>
        <w:t>在职</w:t>
      </w:r>
      <w:r>
        <w:rPr>
          <w:rFonts w:hint="eastAsia" w:ascii="仿宋_GB2312" w:hAnsi="仿宋_GB2312" w:eastAsia="仿宋_GB2312" w:cs="仿宋_GB2312"/>
          <w:b w:val="0"/>
          <w:bCs w:val="0"/>
          <w:kern w:val="2"/>
          <w:sz w:val="32"/>
          <w:szCs w:val="32"/>
        </w:rPr>
        <w:t>职工的长期护理保险缴费费率为0.3%，由用人单位和个人按</w:t>
      </w:r>
      <w:r>
        <w:rPr>
          <w:rFonts w:hint="eastAsia" w:ascii="仿宋_GB2312" w:hAnsi="仿宋_GB2312" w:eastAsia="仿宋_GB2312" w:cs="仿宋_GB2312"/>
          <w:b w:val="0"/>
          <w:bCs w:val="0"/>
          <w:kern w:val="2"/>
          <w:sz w:val="32"/>
          <w:szCs w:val="32"/>
          <w:lang w:val="en-US" w:eastAsia="zh-CN"/>
        </w:rPr>
        <w:t>照</w:t>
      </w:r>
      <w:r>
        <w:rPr>
          <w:rFonts w:hint="eastAsia" w:ascii="仿宋_GB2312" w:hAnsi="仿宋_GB2312" w:eastAsia="仿宋_GB2312" w:cs="仿宋_GB2312"/>
          <w:b w:val="0"/>
          <w:bCs w:val="0"/>
          <w:kern w:val="2"/>
          <w:sz w:val="32"/>
          <w:szCs w:val="32"/>
        </w:rPr>
        <w:t>同比例分担，各为0.15%。单位缴费基数为职工工资总额，个人缴费基数为本人工资收入。</w:t>
      </w:r>
    </w:p>
    <w:p w14:paraId="330128AA">
      <w:pPr>
        <w:keepNext w:val="0"/>
        <w:keepLines w:val="0"/>
        <w:pageBreakBefore w:val="0"/>
        <w:widowControl w:val="0"/>
        <w:suppressLineNumbers w:val="0"/>
        <w:kinsoku/>
        <w:wordWrap/>
        <w:overflowPunct/>
        <w:autoSpaceDE w:val="0"/>
        <w:autoSpaceDN/>
        <w:bidi w:val="0"/>
        <w:adjustRightInd/>
        <w:snapToGrid/>
        <w:spacing w:line="560" w:lineRule="exact"/>
        <w:ind w:left="0" w:leftChars="0" w:firstLine="640"/>
        <w:textAlignment w:val="auto"/>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职工基本医疗保险个人账户可用于本人及近亲属（包括配偶、父母、子女、兄弟姐妹、祖父母、外祖父母、孙子女、外孙子女）参加长期护理保险的个人缴费。</w:t>
      </w:r>
    </w:p>
    <w:p w14:paraId="7C60D83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autoSpaceDE w:val="0"/>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bCs w:val="0"/>
          <w:kern w:val="2"/>
          <w:sz w:val="32"/>
          <w:szCs w:val="32"/>
        </w:rPr>
      </w:pPr>
      <w:r>
        <w:rPr>
          <w:rFonts w:hint="eastAsia" w:ascii="方正楷体_GBK" w:hAnsi="方正楷体_GBK" w:eastAsia="方正楷体_GBK" w:cs="方正楷体_GBK"/>
          <w:b w:val="0"/>
          <w:bCs w:val="0"/>
          <w:kern w:val="2"/>
          <w:sz w:val="32"/>
          <w:szCs w:val="32"/>
        </w:rPr>
        <w:t>（二）医保退休人员。</w:t>
      </w:r>
      <w:r>
        <w:rPr>
          <w:rFonts w:hint="eastAsia" w:ascii="仿宋_GB2312" w:hAnsi="仿宋_GB2312" w:eastAsia="仿宋_GB2312" w:cs="仿宋_GB2312"/>
          <w:b w:val="0"/>
          <w:bCs w:val="0"/>
          <w:kern w:val="2"/>
          <w:sz w:val="32"/>
          <w:szCs w:val="32"/>
        </w:rPr>
        <w:t>医保退休人员(含灵活就业医保退休人员，下同)</w:t>
      </w:r>
      <w:r>
        <w:rPr>
          <w:rFonts w:hint="eastAsia" w:ascii="仿宋_GB2312" w:hAnsi="仿宋_GB2312" w:eastAsia="仿宋_GB2312" w:cs="仿宋_GB2312"/>
          <w:b w:val="0"/>
          <w:bCs w:val="0"/>
          <w:kern w:val="2"/>
          <w:sz w:val="32"/>
          <w:szCs w:val="32"/>
          <w:lang w:val="en-US" w:eastAsia="zh-CN"/>
        </w:rPr>
        <w:t>保费</w:t>
      </w:r>
      <w:r>
        <w:rPr>
          <w:rFonts w:hint="eastAsia" w:ascii="仿宋_GB2312" w:hAnsi="仿宋_GB2312" w:eastAsia="仿宋_GB2312" w:cs="仿宋_GB2312"/>
          <w:b w:val="0"/>
          <w:bCs w:val="0"/>
          <w:kern w:val="2"/>
          <w:sz w:val="32"/>
          <w:szCs w:val="32"/>
        </w:rPr>
        <w:t>由个人缴费，原用人单位不</w:t>
      </w:r>
      <w:r>
        <w:rPr>
          <w:rFonts w:hint="eastAsia" w:ascii="仿宋_GB2312" w:hAnsi="仿宋_GB2312" w:eastAsia="仿宋_GB2312" w:cs="仿宋_GB2312"/>
          <w:b w:val="0"/>
          <w:bCs w:val="0"/>
          <w:kern w:val="2"/>
          <w:sz w:val="32"/>
          <w:szCs w:val="32"/>
          <w:lang w:val="en-US" w:eastAsia="zh-CN"/>
        </w:rPr>
        <w:t>缴纳</w:t>
      </w:r>
      <w:r>
        <w:rPr>
          <w:rFonts w:hint="eastAsia" w:ascii="仿宋_GB2312" w:hAnsi="仿宋_GB2312" w:eastAsia="仿宋_GB2312" w:cs="仿宋_GB2312"/>
          <w:b w:val="0"/>
          <w:bCs w:val="0"/>
          <w:kern w:val="2"/>
          <w:sz w:val="32"/>
          <w:szCs w:val="32"/>
        </w:rPr>
        <w:t>。</w:t>
      </w:r>
      <w:r>
        <w:rPr>
          <w:rFonts w:hint="eastAsia" w:ascii="仿宋_GB2312" w:hAnsi="仿宋_GB2312" w:eastAsia="仿宋_GB2312" w:cs="仿宋_GB2312"/>
          <w:b w:val="0"/>
          <w:bCs w:val="0"/>
          <w:kern w:val="2"/>
          <w:sz w:val="32"/>
          <w:szCs w:val="32"/>
          <w:lang w:val="en-US" w:eastAsia="zh-CN"/>
        </w:rPr>
        <w:t>费率与单位职工个人费率相同</w:t>
      </w:r>
      <w:r>
        <w:rPr>
          <w:rFonts w:hint="eastAsia" w:ascii="仿宋_GB2312" w:hAnsi="仿宋_GB2312" w:eastAsia="仿宋_GB2312" w:cs="仿宋_GB2312"/>
          <w:b w:val="0"/>
          <w:bCs w:val="0"/>
          <w:kern w:val="2"/>
          <w:sz w:val="32"/>
          <w:szCs w:val="32"/>
        </w:rPr>
        <w:t>，为0.15%，缴费基数为本人上年度12月份基本养老金</w:t>
      </w:r>
      <w:r>
        <w:rPr>
          <w:rFonts w:hint="eastAsia" w:ascii="仿宋_GB2312" w:hAnsi="仿宋_GB2312" w:eastAsia="仿宋_GB2312" w:cs="仿宋_GB2312"/>
          <w:b w:val="0"/>
          <w:bCs w:val="0"/>
          <w:kern w:val="2"/>
          <w:sz w:val="32"/>
          <w:szCs w:val="32"/>
          <w:lang w:eastAsia="zh-CN"/>
        </w:rPr>
        <w:t>（</w:t>
      </w:r>
      <w:r>
        <w:rPr>
          <w:rFonts w:hint="eastAsia" w:ascii="仿宋_GB2312" w:hAnsi="仿宋_GB2312" w:eastAsia="仿宋_GB2312" w:cs="仿宋_GB2312"/>
          <w:b w:val="0"/>
          <w:bCs w:val="0"/>
          <w:kern w:val="2"/>
          <w:sz w:val="32"/>
          <w:szCs w:val="32"/>
        </w:rPr>
        <w:t>当年退休人员，</w:t>
      </w:r>
      <w:r>
        <w:rPr>
          <w:rFonts w:hint="eastAsia" w:ascii="仿宋_GB2312" w:hAnsi="仿宋_GB2312" w:eastAsia="仿宋_GB2312" w:cs="仿宋_GB2312"/>
          <w:b w:val="0"/>
          <w:bCs w:val="0"/>
          <w:kern w:val="2"/>
          <w:sz w:val="32"/>
          <w:szCs w:val="32"/>
          <w:lang w:val="en-US" w:eastAsia="zh-CN"/>
        </w:rPr>
        <w:t>以退休当月基本养老金为缴费基数</w:t>
      </w:r>
      <w:r>
        <w:rPr>
          <w:rFonts w:hint="eastAsia" w:ascii="仿宋_GB2312" w:hAnsi="仿宋_GB2312" w:eastAsia="仿宋_GB2312" w:cs="仿宋_GB2312"/>
          <w:b w:val="0"/>
          <w:bCs w:val="0"/>
          <w:kern w:val="2"/>
          <w:sz w:val="32"/>
          <w:szCs w:val="32"/>
          <w:lang w:eastAsia="zh-CN"/>
        </w:rPr>
        <w:t>），</w:t>
      </w:r>
      <w:r>
        <w:rPr>
          <w:rFonts w:hint="eastAsia" w:ascii="仿宋_GB2312" w:hAnsi="仿宋_GB2312" w:eastAsia="仿宋_GB2312" w:cs="仿宋_GB2312"/>
          <w:b w:val="0"/>
          <w:bCs w:val="0"/>
          <w:kern w:val="2"/>
          <w:sz w:val="32"/>
          <w:szCs w:val="32"/>
        </w:rPr>
        <w:t>不享受或尚未核定职工养老保险待遇的，</w:t>
      </w:r>
      <w:r>
        <w:rPr>
          <w:rFonts w:hint="eastAsia" w:ascii="仿宋_GB2312" w:hAnsi="仿宋_GB2312" w:eastAsia="仿宋_GB2312" w:cs="仿宋_GB2312"/>
          <w:b w:val="0"/>
          <w:bCs w:val="0"/>
          <w:kern w:val="2"/>
          <w:sz w:val="32"/>
          <w:szCs w:val="32"/>
          <w:lang w:val="en-US" w:eastAsia="zh-CN"/>
        </w:rPr>
        <w:t>以本市上年度退休人员月平均基本养老金为缴费基数</w:t>
      </w:r>
      <w:r>
        <w:rPr>
          <w:rFonts w:hint="eastAsia" w:ascii="仿宋_GB2312" w:hAnsi="仿宋_GB2312" w:eastAsia="仿宋_GB2312" w:cs="仿宋_GB2312"/>
          <w:b w:val="0"/>
          <w:bCs w:val="0"/>
          <w:kern w:val="2"/>
          <w:sz w:val="32"/>
          <w:szCs w:val="32"/>
        </w:rPr>
        <w:t>。</w:t>
      </w:r>
    </w:p>
    <w:p w14:paraId="0134F752">
      <w:pPr>
        <w:keepNext w:val="0"/>
        <w:keepLines w:val="0"/>
        <w:pageBreakBefore w:val="0"/>
        <w:widowControl w:val="0"/>
        <w:suppressLineNumbers w:val="0"/>
        <w:kinsoku/>
        <w:wordWrap/>
        <w:overflowPunct/>
        <w:autoSpaceDE w:val="0"/>
        <w:autoSpaceDN/>
        <w:bidi w:val="0"/>
        <w:adjustRightInd/>
        <w:snapToGrid/>
        <w:spacing w:line="560" w:lineRule="exact"/>
        <w:ind w:left="0" w:leftChars="0" w:firstLine="640"/>
        <w:textAlignment w:val="auto"/>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医保退休人员应缴纳的长期护理保险保费，经个人同意，可由医保</w:t>
      </w:r>
      <w:r>
        <w:rPr>
          <w:rFonts w:hint="eastAsia" w:ascii="仿宋_GB2312" w:hAnsi="仿宋_GB2312" w:eastAsia="仿宋_GB2312" w:cs="仿宋_GB2312"/>
          <w:b w:val="0"/>
          <w:bCs w:val="0"/>
          <w:kern w:val="2"/>
          <w:sz w:val="32"/>
          <w:szCs w:val="32"/>
          <w:lang w:val="en-US" w:eastAsia="zh-CN"/>
        </w:rPr>
        <w:t>部门从其职工基本医疗保险个人账户中代扣代缴，具备条件时也</w:t>
      </w:r>
      <w:r>
        <w:rPr>
          <w:rFonts w:hint="eastAsia" w:ascii="仿宋_GB2312" w:hAnsi="仿宋_GB2312" w:eastAsia="仿宋_GB2312" w:cs="仿宋_GB2312"/>
          <w:b w:val="0"/>
          <w:bCs w:val="0"/>
          <w:kern w:val="2"/>
          <w:sz w:val="32"/>
          <w:szCs w:val="32"/>
        </w:rPr>
        <w:t>可由发放职工基本养老金的社会保险经办机构代扣代缴或探索</w:t>
      </w:r>
      <w:r>
        <w:rPr>
          <w:rFonts w:hint="eastAsia" w:ascii="仿宋_GB2312" w:hAnsi="仿宋_GB2312" w:eastAsia="仿宋_GB2312" w:cs="仿宋_GB2312"/>
          <w:b w:val="0"/>
          <w:bCs w:val="0"/>
          <w:kern w:val="2"/>
          <w:sz w:val="32"/>
          <w:szCs w:val="32"/>
          <w:lang w:val="en-US" w:eastAsia="zh-CN"/>
        </w:rPr>
        <w:t>完善</w:t>
      </w:r>
      <w:r>
        <w:rPr>
          <w:rFonts w:hint="eastAsia" w:ascii="仿宋_GB2312" w:hAnsi="仿宋_GB2312" w:eastAsia="仿宋_GB2312" w:cs="仿宋_GB2312"/>
          <w:b w:val="0"/>
          <w:bCs w:val="0"/>
          <w:kern w:val="2"/>
          <w:sz w:val="32"/>
          <w:szCs w:val="32"/>
        </w:rPr>
        <w:t>其他可行的缴费方式。</w:t>
      </w:r>
    </w:p>
    <w:p w14:paraId="7901E3C3">
      <w:pPr>
        <w:keepNext w:val="0"/>
        <w:keepLines w:val="0"/>
        <w:pageBreakBefore w:val="0"/>
        <w:widowControl w:val="0"/>
        <w:suppressLineNumbers w:val="0"/>
        <w:kinsoku/>
        <w:wordWrap/>
        <w:overflowPunct/>
        <w:autoSpaceDE w:val="0"/>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rPr>
      </w:pPr>
      <w:r>
        <w:rPr>
          <w:rFonts w:hint="eastAsia" w:ascii="方正楷体_GBK" w:hAnsi="方正楷体_GBK" w:eastAsia="方正楷体_GBK" w:cs="方正楷体_GBK"/>
          <w:b w:val="0"/>
          <w:bCs w:val="0"/>
          <w:kern w:val="2"/>
          <w:sz w:val="32"/>
          <w:szCs w:val="32"/>
        </w:rPr>
        <w:t>（三）未就业城乡居民。</w:t>
      </w:r>
      <w:r>
        <w:rPr>
          <w:rFonts w:hint="eastAsia" w:ascii="仿宋_GB2312" w:hAnsi="仿宋_GB2312" w:eastAsia="仿宋_GB2312" w:cs="仿宋_GB2312"/>
          <w:b w:val="0"/>
          <w:bCs w:val="0"/>
          <w:kern w:val="2"/>
          <w:sz w:val="32"/>
          <w:szCs w:val="32"/>
        </w:rPr>
        <w:t>未就业城乡居民</w:t>
      </w:r>
      <w:r>
        <w:rPr>
          <w:rFonts w:hint="eastAsia" w:ascii="仿宋_GB2312" w:hAnsi="仿宋_GB2312" w:eastAsia="仿宋_GB2312" w:cs="仿宋_GB2312"/>
          <w:b w:val="0"/>
          <w:bCs w:val="0"/>
          <w:kern w:val="2"/>
          <w:sz w:val="32"/>
          <w:szCs w:val="32"/>
          <w:lang w:val="en-US" w:eastAsia="zh-CN"/>
        </w:rPr>
        <w:t>保费</w:t>
      </w:r>
      <w:r>
        <w:rPr>
          <w:rFonts w:hint="eastAsia" w:ascii="仿宋_GB2312" w:hAnsi="仿宋_GB2312" w:eastAsia="仿宋_GB2312" w:cs="仿宋_GB2312"/>
          <w:b w:val="0"/>
          <w:bCs w:val="0"/>
          <w:kern w:val="2"/>
          <w:sz w:val="32"/>
          <w:szCs w:val="32"/>
        </w:rPr>
        <w:t>按年度筹集。筹资由个人缴费和政府补助构成，个人缴费和政府补助比例为</w:t>
      </w:r>
      <w:r>
        <w:rPr>
          <w:rFonts w:hint="eastAsia" w:ascii="仿宋_GB2312" w:hAnsi="仿宋_GB2312" w:eastAsia="仿宋_GB2312" w:cs="仿宋_GB2312"/>
          <w:b w:val="0"/>
          <w:bCs w:val="0"/>
          <w:kern w:val="2"/>
          <w:sz w:val="32"/>
          <w:szCs w:val="32"/>
          <w:lang w:val="en-US" w:eastAsia="zh-CN"/>
        </w:rPr>
        <w:t>1∶1</w:t>
      </w:r>
      <w:r>
        <w:rPr>
          <w:rFonts w:hint="eastAsia" w:ascii="仿宋_GB2312" w:hAnsi="仿宋_GB2312" w:eastAsia="仿宋_GB2312" w:cs="仿宋_GB2312"/>
          <w:b w:val="0"/>
          <w:bCs w:val="0"/>
          <w:kern w:val="2"/>
          <w:sz w:val="32"/>
          <w:szCs w:val="32"/>
        </w:rPr>
        <w:t>左右。政府补助由中央财政和地方财政共同承担，政府补助具体办法另行确定</w:t>
      </w:r>
      <w:r>
        <w:rPr>
          <w:rFonts w:hint="eastAsia" w:ascii="仿宋_GB2312" w:hAnsi="仿宋_GB2312" w:eastAsia="仿宋_GB2312" w:cs="仿宋_GB2312"/>
          <w:b w:val="0"/>
          <w:bCs w:val="0"/>
          <w:kern w:val="2"/>
          <w:sz w:val="32"/>
          <w:szCs w:val="32"/>
          <w:lang w:eastAsia="zh-CN"/>
        </w:rPr>
        <w:t>。</w:t>
      </w:r>
      <w:r>
        <w:rPr>
          <w:rFonts w:hint="eastAsia" w:ascii="仿宋_GB2312" w:hAnsi="仿宋_GB2312" w:eastAsia="仿宋_GB2312" w:cs="仿宋_GB2312"/>
          <w:b w:val="0"/>
          <w:bCs w:val="0"/>
          <w:kern w:val="2"/>
          <w:sz w:val="32"/>
          <w:szCs w:val="32"/>
        </w:rPr>
        <w:t>建立未就业城乡居民长期护理保险制度的当年，以统筹地区上</w:t>
      </w:r>
      <w:r>
        <w:rPr>
          <w:rFonts w:hint="eastAsia" w:ascii="仿宋_GB2312" w:hAnsi="仿宋_GB2312" w:eastAsia="仿宋_GB2312" w:cs="仿宋_GB2312"/>
          <w:b w:val="0"/>
          <w:bCs w:val="0"/>
          <w:kern w:val="2"/>
          <w:sz w:val="32"/>
          <w:szCs w:val="32"/>
          <w:lang w:val="en-US" w:eastAsia="zh-CN"/>
        </w:rPr>
        <w:t>一</w:t>
      </w:r>
      <w:r>
        <w:rPr>
          <w:rFonts w:hint="eastAsia" w:ascii="仿宋_GB2312" w:hAnsi="仿宋_GB2312" w:eastAsia="仿宋_GB2312" w:cs="仿宋_GB2312"/>
          <w:b w:val="0"/>
          <w:bCs w:val="0"/>
          <w:kern w:val="2"/>
          <w:sz w:val="32"/>
          <w:szCs w:val="32"/>
        </w:rPr>
        <w:t>年度城乡居民人均可支配收入为缴费基数，费率从0.15%起步，用5年左右时间逐步过渡到0.3%左右。</w:t>
      </w:r>
    </w:p>
    <w:p w14:paraId="692396BF">
      <w:pPr>
        <w:keepNext w:val="0"/>
        <w:keepLines w:val="0"/>
        <w:pageBreakBefore w:val="0"/>
        <w:widowControl w:val="0"/>
        <w:suppressLineNumbers w:val="0"/>
        <w:kinsoku/>
        <w:wordWrap/>
        <w:overflowPunct/>
        <w:autoSpaceDE w:val="0"/>
        <w:autoSpaceDN/>
        <w:bidi w:val="0"/>
        <w:adjustRightInd/>
        <w:snapToGrid/>
        <w:spacing w:line="560" w:lineRule="exact"/>
        <w:ind w:left="0" w:leftChars="0" w:firstLine="640"/>
        <w:textAlignment w:val="auto"/>
        <w:rPr>
          <w:rFonts w:hint="eastAsia" w:ascii="仿宋_GB2312" w:hAnsi="仿宋_GB2312" w:eastAsia="仿宋_GB2312" w:cs="仿宋_GB2312"/>
          <w:b w:val="0"/>
          <w:bCs w:val="0"/>
          <w:kern w:val="2"/>
          <w:sz w:val="32"/>
          <w:szCs w:val="32"/>
          <w:lang w:val="en-US" w:eastAsia="zh-CN"/>
        </w:rPr>
      </w:pPr>
      <w:r>
        <w:rPr>
          <w:rFonts w:hint="eastAsia" w:ascii="方正楷体_GBK" w:hAnsi="方正楷体_GBK" w:eastAsia="方正楷体_GBK" w:cs="方正楷体_GBK"/>
          <w:b w:val="0"/>
          <w:bCs w:val="0"/>
          <w:kern w:val="2"/>
          <w:sz w:val="32"/>
          <w:szCs w:val="32"/>
        </w:rPr>
        <w:t>（四）灵活就业人员。</w:t>
      </w:r>
      <w:r>
        <w:rPr>
          <w:rFonts w:hint="eastAsia" w:ascii="仿宋_GB2312" w:hAnsi="仿宋_GB2312" w:eastAsia="仿宋_GB2312" w:cs="仿宋_GB2312"/>
          <w:b w:val="0"/>
          <w:bCs w:val="0"/>
          <w:kern w:val="2"/>
          <w:sz w:val="32"/>
          <w:szCs w:val="32"/>
        </w:rPr>
        <w:t>灵活就业人员参加长期护理保险的险种类型与其基本医疗保险参保类别保持一致。参加职工基本医疗保险的灵活就业人员，同步参加职工长期护理保险，缴费费率为0.</w:t>
      </w:r>
      <w:r>
        <w:rPr>
          <w:rFonts w:hint="eastAsia" w:ascii="仿宋_GB2312" w:hAnsi="仿宋_GB2312" w:eastAsia="仿宋_GB2312" w:cs="仿宋_GB2312"/>
          <w:b w:val="0"/>
          <w:bCs w:val="0"/>
          <w:kern w:val="2"/>
          <w:sz w:val="32"/>
          <w:szCs w:val="32"/>
          <w:lang w:val="en-US" w:eastAsia="zh-CN"/>
        </w:rPr>
        <w:t>3</w:t>
      </w:r>
      <w:r>
        <w:rPr>
          <w:rFonts w:hint="eastAsia" w:ascii="仿宋_GB2312" w:hAnsi="仿宋_GB2312" w:eastAsia="仿宋_GB2312" w:cs="仿宋_GB2312"/>
          <w:b w:val="0"/>
          <w:bCs w:val="0"/>
          <w:kern w:val="2"/>
          <w:sz w:val="32"/>
          <w:szCs w:val="32"/>
        </w:rPr>
        <w:t>%，缴费基数为</w:t>
      </w:r>
      <w:r>
        <w:rPr>
          <w:rFonts w:hint="eastAsia" w:ascii="仿宋_GB2312" w:hAnsi="仿宋_GB2312" w:eastAsia="仿宋_GB2312" w:cs="仿宋_GB2312"/>
          <w:b w:val="0"/>
          <w:bCs w:val="0"/>
          <w:kern w:val="2"/>
          <w:sz w:val="32"/>
          <w:szCs w:val="32"/>
          <w:lang w:val="en-US" w:eastAsia="zh-CN"/>
        </w:rPr>
        <w:t>统筹地区上一年度社会平均工资的60%，由个人按照规定缴费</w:t>
      </w:r>
      <w:r>
        <w:rPr>
          <w:rFonts w:hint="eastAsia" w:ascii="仿宋_GB2312" w:hAnsi="仿宋_GB2312" w:eastAsia="仿宋_GB2312" w:cs="仿宋_GB2312"/>
          <w:b w:val="0"/>
          <w:bCs w:val="0"/>
          <w:kern w:val="2"/>
          <w:sz w:val="32"/>
          <w:szCs w:val="32"/>
        </w:rPr>
        <w:t>；</w:t>
      </w:r>
      <w:r>
        <w:rPr>
          <w:rFonts w:hint="eastAsia" w:ascii="仿宋_GB2312" w:hAnsi="仿宋_GB2312" w:eastAsia="仿宋_GB2312" w:cs="仿宋_GB2312"/>
          <w:b w:val="0"/>
          <w:bCs w:val="0"/>
          <w:kern w:val="2"/>
          <w:sz w:val="32"/>
          <w:szCs w:val="32"/>
          <w:lang w:val="en-US" w:eastAsia="zh-CN"/>
        </w:rPr>
        <w:t>未参加职工基本医疗保险的灵活就业人员在基本医疗保险参保地按照未就业城乡居民参保政策参保缴费。</w:t>
      </w:r>
    </w:p>
    <w:p w14:paraId="0063BD51">
      <w:pPr>
        <w:keepNext w:val="0"/>
        <w:keepLines w:val="0"/>
        <w:pageBreakBefore w:val="0"/>
        <w:widowControl w:val="0"/>
        <w:suppressLineNumbers w:val="0"/>
        <w:kinsoku/>
        <w:wordWrap/>
        <w:overflowPunct/>
        <w:autoSpaceDE w:val="0"/>
        <w:autoSpaceDN/>
        <w:bidi w:val="0"/>
        <w:adjustRightInd/>
        <w:snapToGrid/>
        <w:spacing w:line="560" w:lineRule="exact"/>
        <w:ind w:left="0" w:leftChars="0" w:firstLine="640"/>
        <w:textAlignment w:val="auto"/>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灵活就业人员基本医疗保险参保险种发生变更时，其长期护理保险险种同步调整。</w:t>
      </w:r>
    </w:p>
    <w:p w14:paraId="424545BC">
      <w:pPr>
        <w:keepNext w:val="0"/>
        <w:keepLines w:val="0"/>
        <w:pageBreakBefore w:val="0"/>
        <w:widowControl w:val="0"/>
        <w:suppressLineNumbers w:val="0"/>
        <w:kinsoku/>
        <w:wordWrap/>
        <w:overflowPunct/>
        <w:autoSpaceDE w:val="0"/>
        <w:autoSpaceDN/>
        <w:bidi w:val="0"/>
        <w:adjustRightInd/>
        <w:snapToGrid/>
        <w:spacing w:line="560" w:lineRule="exact"/>
        <w:ind w:left="0" w:leftChars="0" w:firstLine="640"/>
        <w:jc w:val="both"/>
        <w:textAlignment w:val="auto"/>
        <w:rPr>
          <w:rFonts w:hint="eastAsia" w:ascii="仿宋_GB2312" w:hAnsi="仿宋_GB2312" w:eastAsia="仿宋_GB2312" w:cs="仿宋_GB2312"/>
          <w:b w:val="0"/>
          <w:bCs w:val="0"/>
          <w:kern w:val="2"/>
          <w:sz w:val="32"/>
          <w:szCs w:val="32"/>
        </w:rPr>
      </w:pPr>
      <w:r>
        <w:rPr>
          <w:rFonts w:hint="eastAsia" w:ascii="方正楷体_GBK" w:hAnsi="方正楷体_GBK" w:eastAsia="方正楷体_GBK" w:cs="方正楷体_GBK"/>
          <w:b w:val="0"/>
          <w:bCs w:val="0"/>
          <w:kern w:val="2"/>
          <w:sz w:val="32"/>
          <w:szCs w:val="32"/>
        </w:rPr>
        <w:t>（五）困难人群。</w:t>
      </w:r>
      <w:r>
        <w:rPr>
          <w:rFonts w:hint="eastAsia" w:ascii="仿宋_GB2312" w:hAnsi="仿宋_GB2312" w:eastAsia="仿宋_GB2312" w:cs="仿宋_GB2312"/>
          <w:b w:val="0"/>
          <w:bCs w:val="0"/>
          <w:kern w:val="2"/>
          <w:sz w:val="32"/>
          <w:szCs w:val="32"/>
        </w:rPr>
        <w:t>政府对符合条件的困难人群</w:t>
      </w:r>
      <w:r>
        <w:rPr>
          <w:rFonts w:hint="eastAsia" w:ascii="仿宋_GB2312" w:hAnsi="仿宋_GB2312" w:eastAsia="仿宋_GB2312" w:cs="仿宋_GB2312"/>
          <w:b w:val="0"/>
          <w:bCs w:val="0"/>
          <w:kern w:val="2"/>
          <w:sz w:val="32"/>
          <w:szCs w:val="32"/>
          <w:lang w:val="en-US" w:eastAsia="zh-CN"/>
        </w:rPr>
        <w:t>按未就业城乡居民</w:t>
      </w:r>
      <w:r>
        <w:rPr>
          <w:rFonts w:hint="eastAsia" w:ascii="仿宋_GB2312" w:hAnsi="仿宋_GB2312" w:eastAsia="仿宋_GB2312" w:cs="仿宋_GB2312"/>
          <w:b w:val="0"/>
          <w:bCs w:val="0"/>
          <w:kern w:val="2"/>
          <w:sz w:val="32"/>
          <w:szCs w:val="32"/>
        </w:rPr>
        <w:t>参加长期护理保险个人缴费部分予以分类资助，全额资助特困人员，定额资助低保对象、符合条件的防止返贫致贫对象。定额资助标准为不低于个人缴费部分的50%。</w:t>
      </w:r>
    </w:p>
    <w:p w14:paraId="0798FFD7">
      <w:pPr>
        <w:keepNext w:val="0"/>
        <w:keepLines w:val="0"/>
        <w:pageBreakBefore w:val="0"/>
        <w:widowControl w:val="0"/>
        <w:suppressLineNumbers w:val="0"/>
        <w:kinsoku/>
        <w:wordWrap/>
        <w:overflowPunct/>
        <w:autoSpaceDE w:val="0"/>
        <w:autoSpaceDN/>
        <w:bidi w:val="0"/>
        <w:adjustRightInd/>
        <w:snapToGrid/>
        <w:spacing w:line="560" w:lineRule="exact"/>
        <w:ind w:left="0" w:leftChars="0" w:firstLine="640"/>
        <w:jc w:val="both"/>
        <w:textAlignment w:val="auto"/>
        <w:rPr>
          <w:rFonts w:hint="eastAsia" w:ascii="仿宋_GB2312" w:hAnsi="仿宋_GB2312" w:eastAsia="仿宋_GB2312" w:cs="仿宋_GB2312"/>
          <w:b w:val="0"/>
          <w:bCs w:val="0"/>
          <w:kern w:val="2"/>
          <w:sz w:val="32"/>
          <w:szCs w:val="32"/>
        </w:rPr>
      </w:pPr>
      <w:r>
        <w:rPr>
          <w:rFonts w:hint="eastAsia" w:ascii="方正楷体_GBK" w:hAnsi="方正楷体_GBK" w:eastAsia="方正楷体_GBK" w:cs="方正楷体_GBK"/>
          <w:b w:val="0"/>
          <w:bCs w:val="0"/>
          <w:kern w:val="2"/>
          <w:sz w:val="32"/>
          <w:szCs w:val="32"/>
        </w:rPr>
        <w:t>（六）18周岁以下人员。</w:t>
      </w:r>
      <w:r>
        <w:rPr>
          <w:rFonts w:hint="eastAsia" w:ascii="仿宋_GB2312" w:hAnsi="仿宋_GB2312" w:eastAsia="仿宋_GB2312" w:cs="仿宋_GB2312"/>
          <w:b w:val="0"/>
          <w:bCs w:val="0"/>
          <w:kern w:val="2"/>
          <w:sz w:val="32"/>
          <w:szCs w:val="32"/>
        </w:rPr>
        <w:t>18周岁以下未就业人员跟随父母或其他法定抚养人等参保，不单独筹资，享受未就业人员长期护理保险待遇。孤儿、事实无人抚养儿童等</w:t>
      </w:r>
      <w:r>
        <w:rPr>
          <w:rFonts w:hint="eastAsia" w:ascii="仿宋_GB2312" w:hAnsi="仿宋_GB2312" w:eastAsia="仿宋_GB2312" w:cs="仿宋_GB2312"/>
          <w:b w:val="0"/>
          <w:bCs w:val="0"/>
          <w:kern w:val="2"/>
          <w:sz w:val="32"/>
          <w:szCs w:val="32"/>
          <w:lang w:val="en-US" w:eastAsia="zh-CN"/>
        </w:rPr>
        <w:t>人员</w:t>
      </w:r>
      <w:r>
        <w:rPr>
          <w:rFonts w:hint="eastAsia" w:ascii="仿宋_GB2312" w:hAnsi="仿宋_GB2312" w:eastAsia="仿宋_GB2312" w:cs="仿宋_GB2312"/>
          <w:b w:val="0"/>
          <w:bCs w:val="0"/>
          <w:kern w:val="2"/>
          <w:sz w:val="32"/>
          <w:szCs w:val="32"/>
        </w:rPr>
        <w:t>无法跟从参保的，视同参保。</w:t>
      </w:r>
    </w:p>
    <w:p w14:paraId="46BAC9B5">
      <w:pPr>
        <w:keepNext w:val="0"/>
        <w:keepLines w:val="0"/>
        <w:pageBreakBefore w:val="0"/>
        <w:widowControl w:val="0"/>
        <w:suppressLineNumbers w:val="0"/>
        <w:kinsoku/>
        <w:wordWrap/>
        <w:overflowPunct/>
        <w:autoSpaceDE w:val="0"/>
        <w:autoSpaceDN/>
        <w:bidi w:val="0"/>
        <w:adjustRightInd/>
        <w:snapToGrid/>
        <w:spacing w:line="560" w:lineRule="exact"/>
        <w:ind w:left="0" w:leftChars="0" w:firstLine="640"/>
        <w:textAlignment w:val="auto"/>
        <w:rPr>
          <w:rFonts w:hint="eastAsia" w:ascii="仿宋_GB2312" w:hAnsi="仿宋_GB2312" w:eastAsia="仿宋_GB2312" w:cs="仿宋_GB2312"/>
          <w:b w:val="0"/>
          <w:bCs w:val="0"/>
          <w:kern w:val="2"/>
          <w:sz w:val="32"/>
          <w:szCs w:val="32"/>
          <w:lang w:val="en-US" w:eastAsia="zh-CN"/>
        </w:rPr>
      </w:pPr>
      <w:r>
        <w:tab/>
      </w:r>
      <w:r>
        <w:rPr>
          <w:rFonts w:hint="eastAsia" w:ascii="黑体" w:hAnsi="黑体" w:eastAsia="黑体" w:cs="黑体"/>
          <w:color w:val="000000"/>
          <w:sz w:val="32"/>
        </w:rPr>
        <w:t>第</w:t>
      </w:r>
      <w:r>
        <w:rPr>
          <w:rFonts w:hint="eastAsia" w:ascii="黑体" w:hAnsi="黑体" w:eastAsia="黑体" w:cs="黑体"/>
          <w:color w:val="000000"/>
          <w:sz w:val="32"/>
          <w:lang w:val="en-US" w:eastAsia="zh-CN"/>
        </w:rPr>
        <w:t>八</w:t>
      </w:r>
      <w:r>
        <w:rPr>
          <w:rFonts w:hint="eastAsia" w:ascii="黑体" w:hAnsi="黑体" w:eastAsia="黑体" w:cs="黑体"/>
          <w:color w:val="000000"/>
          <w:sz w:val="32"/>
        </w:rPr>
        <w:t>条</w:t>
      </w:r>
      <w:r>
        <w:rPr>
          <w:rFonts w:hint="eastAsia" w:ascii="STR3kroh+SimHei" w:hAnsi="STR3kroh+SimHei"/>
          <w:color w:val="000000"/>
          <w:sz w:val="32"/>
          <w:lang w:val="en-US" w:eastAsia="zh-CN"/>
        </w:rPr>
        <w:t xml:space="preserve">  </w:t>
      </w:r>
      <w:r>
        <w:rPr>
          <w:rFonts w:hint="eastAsia" w:ascii="仿宋_GB2312" w:hAnsi="仿宋_GB2312" w:eastAsia="仿宋_GB2312" w:cs="仿宋_GB2312"/>
          <w:b w:val="0"/>
          <w:bCs w:val="0"/>
          <w:kern w:val="2"/>
          <w:sz w:val="32"/>
          <w:szCs w:val="32"/>
        </w:rPr>
        <w:t>除新生儿、困难人群等特殊群体外，对未在本市长期护理保险制度启动时参保</w:t>
      </w:r>
      <w:r>
        <w:rPr>
          <w:rFonts w:hint="eastAsia" w:ascii="仿宋_GB2312" w:hAnsi="仿宋_GB2312" w:eastAsia="仿宋_GB2312" w:cs="仿宋_GB2312"/>
          <w:b w:val="0"/>
          <w:bCs w:val="0"/>
          <w:kern w:val="2"/>
          <w:sz w:val="32"/>
          <w:szCs w:val="32"/>
          <w:lang w:eastAsia="zh-CN"/>
        </w:rPr>
        <w:t>，</w:t>
      </w:r>
      <w:r>
        <w:rPr>
          <w:rFonts w:hint="eastAsia" w:ascii="仿宋_GB2312" w:hAnsi="仿宋_GB2312" w:eastAsia="仿宋_GB2312" w:cs="仿宋_GB2312"/>
          <w:b w:val="0"/>
          <w:bCs w:val="0"/>
          <w:kern w:val="2"/>
          <w:sz w:val="32"/>
          <w:szCs w:val="32"/>
        </w:rPr>
        <w:t>中断缴费后再次参保的</w:t>
      </w:r>
      <w:r>
        <w:rPr>
          <w:rFonts w:hint="eastAsia" w:ascii="仿宋_GB2312" w:hAnsi="仿宋_GB2312" w:eastAsia="仿宋_GB2312" w:cs="仿宋_GB2312"/>
          <w:b w:val="0"/>
          <w:bCs w:val="0"/>
          <w:kern w:val="2"/>
          <w:sz w:val="32"/>
          <w:szCs w:val="32"/>
          <w:lang w:val="en-US" w:eastAsia="zh-CN"/>
        </w:rPr>
        <w:t>情形</w:t>
      </w:r>
      <w:r>
        <w:rPr>
          <w:rFonts w:hint="eastAsia" w:ascii="仿宋_GB2312" w:hAnsi="仿宋_GB2312" w:eastAsia="仿宋_GB2312" w:cs="仿宋_GB2312"/>
          <w:b w:val="0"/>
          <w:bCs w:val="0"/>
          <w:kern w:val="2"/>
          <w:sz w:val="32"/>
          <w:szCs w:val="32"/>
        </w:rPr>
        <w:t>，设置固定待遇等待期</w:t>
      </w:r>
      <w:r>
        <w:rPr>
          <w:rFonts w:hint="eastAsia" w:ascii="仿宋_GB2312" w:hAnsi="仿宋_GB2312" w:eastAsia="仿宋_GB2312" w:cs="仿宋_GB2312"/>
          <w:b w:val="0"/>
          <w:bCs w:val="0"/>
          <w:kern w:val="2"/>
          <w:sz w:val="32"/>
          <w:szCs w:val="32"/>
          <w:lang w:eastAsia="zh-CN"/>
        </w:rPr>
        <w:t>６</w:t>
      </w:r>
      <w:r>
        <w:rPr>
          <w:rFonts w:hint="eastAsia" w:ascii="仿宋_GB2312" w:hAnsi="仿宋_GB2312" w:eastAsia="仿宋_GB2312" w:cs="仿宋_GB2312"/>
          <w:b w:val="0"/>
          <w:bCs w:val="0"/>
          <w:kern w:val="2"/>
          <w:sz w:val="32"/>
          <w:szCs w:val="32"/>
        </w:rPr>
        <w:t>个月</w:t>
      </w:r>
      <w:r>
        <w:rPr>
          <w:rFonts w:hint="eastAsia" w:ascii="仿宋_GB2312" w:hAnsi="仿宋_GB2312" w:eastAsia="仿宋_GB2312" w:cs="仿宋_GB2312"/>
          <w:b w:val="0"/>
          <w:bCs w:val="0"/>
          <w:kern w:val="2"/>
          <w:sz w:val="32"/>
          <w:szCs w:val="32"/>
          <w:lang w:eastAsia="zh-CN"/>
        </w:rPr>
        <w:t>。</w:t>
      </w:r>
    </w:p>
    <w:p w14:paraId="6814D455">
      <w:pPr>
        <w:keepNext w:val="0"/>
        <w:keepLines w:val="0"/>
        <w:pageBreakBefore w:val="0"/>
        <w:widowControl w:val="0"/>
        <w:suppressLineNumbers w:val="0"/>
        <w:kinsoku/>
        <w:wordWrap/>
        <w:overflowPunct/>
        <w:autoSpaceDE w:val="0"/>
        <w:autoSpaceDN/>
        <w:bidi w:val="0"/>
        <w:adjustRightInd/>
        <w:snapToGrid/>
        <w:spacing w:line="560" w:lineRule="exact"/>
        <w:ind w:left="0" w:leftChars="0" w:firstLine="640"/>
        <w:textAlignment w:val="auto"/>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参加职工长期护理保险的，中断缴费３个月（含）以内的，且在３个月以内补足中断期间</w:t>
      </w:r>
      <w:r>
        <w:rPr>
          <w:rFonts w:hint="eastAsia" w:ascii="仿宋_GB2312" w:hAnsi="仿宋_GB2312" w:eastAsia="仿宋_GB2312" w:cs="仿宋_GB2312"/>
          <w:b w:val="0"/>
          <w:bCs w:val="0"/>
          <w:kern w:val="2"/>
          <w:sz w:val="32"/>
          <w:szCs w:val="32"/>
          <w:lang w:eastAsia="zh-CN"/>
        </w:rPr>
        <w:t>长期护理保险</w:t>
      </w:r>
      <w:r>
        <w:rPr>
          <w:rFonts w:hint="eastAsia" w:ascii="仿宋_GB2312" w:hAnsi="仿宋_GB2312" w:eastAsia="仿宋_GB2312" w:cs="仿宋_GB2312"/>
          <w:b w:val="0"/>
          <w:bCs w:val="0"/>
          <w:kern w:val="2"/>
          <w:sz w:val="32"/>
          <w:szCs w:val="32"/>
        </w:rPr>
        <w:t>保费的，中断</w:t>
      </w:r>
      <w:r>
        <w:rPr>
          <w:rFonts w:hint="eastAsia" w:ascii="仿宋_GB2312" w:hAnsi="仿宋_GB2312" w:eastAsia="仿宋_GB2312" w:cs="仿宋_GB2312"/>
          <w:b w:val="0"/>
          <w:bCs w:val="0"/>
          <w:kern w:val="2"/>
          <w:sz w:val="32"/>
          <w:szCs w:val="32"/>
          <w:lang w:val="en-US" w:eastAsia="zh-CN"/>
        </w:rPr>
        <w:t>期间的待遇可按规定享受</w:t>
      </w:r>
      <w:r>
        <w:rPr>
          <w:rFonts w:hint="eastAsia" w:ascii="仿宋_GB2312" w:hAnsi="仿宋_GB2312" w:eastAsia="仿宋_GB2312" w:cs="仿宋_GB2312"/>
          <w:b w:val="0"/>
          <w:bCs w:val="0"/>
          <w:kern w:val="2"/>
          <w:sz w:val="32"/>
          <w:szCs w:val="32"/>
        </w:rPr>
        <w:t>；中断缴费</w:t>
      </w:r>
      <w:r>
        <w:rPr>
          <w:rFonts w:hint="eastAsia" w:ascii="仿宋_GB2312" w:hAnsi="仿宋_GB2312" w:eastAsia="仿宋_GB2312" w:cs="仿宋_GB2312"/>
          <w:b w:val="0"/>
          <w:bCs w:val="0"/>
          <w:kern w:val="2"/>
          <w:sz w:val="32"/>
          <w:szCs w:val="32"/>
          <w:lang w:eastAsia="zh-CN"/>
        </w:rPr>
        <w:t>３</w:t>
      </w:r>
      <w:r>
        <w:rPr>
          <w:rFonts w:hint="eastAsia" w:ascii="仿宋_GB2312" w:hAnsi="仿宋_GB2312" w:eastAsia="仿宋_GB2312" w:cs="仿宋_GB2312"/>
          <w:b w:val="0"/>
          <w:bCs w:val="0"/>
          <w:kern w:val="2"/>
          <w:sz w:val="32"/>
          <w:szCs w:val="32"/>
        </w:rPr>
        <w:t>个月以上的自再次参保缴费之月起设置</w:t>
      </w:r>
      <w:r>
        <w:rPr>
          <w:rFonts w:hint="eastAsia" w:ascii="仿宋_GB2312" w:hAnsi="仿宋_GB2312" w:eastAsia="仿宋_GB2312" w:cs="仿宋_GB2312"/>
          <w:b w:val="0"/>
          <w:bCs w:val="0"/>
          <w:kern w:val="2"/>
          <w:sz w:val="32"/>
          <w:szCs w:val="32"/>
          <w:lang w:eastAsia="zh-CN"/>
        </w:rPr>
        <w:t>６</w:t>
      </w:r>
      <w:r>
        <w:rPr>
          <w:rFonts w:hint="eastAsia" w:ascii="仿宋_GB2312" w:hAnsi="仿宋_GB2312" w:eastAsia="仿宋_GB2312" w:cs="仿宋_GB2312"/>
          <w:b w:val="0"/>
          <w:bCs w:val="0"/>
          <w:kern w:val="2"/>
          <w:sz w:val="32"/>
          <w:szCs w:val="32"/>
        </w:rPr>
        <w:t>个月的待遇享受等待期。</w:t>
      </w:r>
    </w:p>
    <w:p w14:paraId="7F96ECD8">
      <w:pPr>
        <w:keepNext w:val="0"/>
        <w:keepLines w:val="0"/>
        <w:pageBreakBefore w:val="0"/>
        <w:widowControl w:val="0"/>
        <w:suppressLineNumbers w:val="0"/>
        <w:kinsoku/>
        <w:wordWrap/>
        <w:overflowPunct/>
        <w:autoSpaceDE w:val="0"/>
        <w:autoSpaceDN/>
        <w:bidi w:val="0"/>
        <w:adjustRightInd/>
        <w:snapToGrid/>
        <w:spacing w:line="560" w:lineRule="exact"/>
        <w:ind w:left="0" w:leftChars="0" w:firstLine="640"/>
        <w:textAlignment w:val="auto"/>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参加城乡居民长期护理保险的，每多断保</w:t>
      </w:r>
      <w:r>
        <w:rPr>
          <w:rFonts w:hint="eastAsia" w:ascii="仿宋_GB2312" w:hAnsi="仿宋_GB2312" w:eastAsia="仿宋_GB2312" w:cs="仿宋_GB2312"/>
          <w:b w:val="0"/>
          <w:bCs w:val="0"/>
          <w:kern w:val="2"/>
          <w:sz w:val="32"/>
          <w:szCs w:val="32"/>
          <w:lang w:eastAsia="zh-CN"/>
        </w:rPr>
        <w:t>１</w:t>
      </w:r>
      <w:r>
        <w:rPr>
          <w:rFonts w:hint="eastAsia" w:ascii="仿宋_GB2312" w:hAnsi="仿宋_GB2312" w:eastAsia="仿宋_GB2312" w:cs="仿宋_GB2312"/>
          <w:b w:val="0"/>
          <w:bCs w:val="0"/>
          <w:kern w:val="2"/>
          <w:sz w:val="32"/>
          <w:szCs w:val="32"/>
        </w:rPr>
        <w:t>年，在固定待遇等待期基础上增加变动待遇等待期</w:t>
      </w:r>
      <w:r>
        <w:rPr>
          <w:rFonts w:hint="eastAsia" w:ascii="仿宋_GB2312" w:hAnsi="仿宋_GB2312" w:eastAsia="仿宋_GB2312" w:cs="仿宋_GB2312"/>
          <w:b w:val="0"/>
          <w:bCs w:val="0"/>
          <w:kern w:val="2"/>
          <w:sz w:val="32"/>
          <w:szCs w:val="32"/>
          <w:lang w:eastAsia="zh-CN"/>
        </w:rPr>
        <w:t>１</w:t>
      </w:r>
      <w:r>
        <w:rPr>
          <w:rFonts w:hint="eastAsia" w:ascii="仿宋_GB2312" w:hAnsi="仿宋_GB2312" w:eastAsia="仿宋_GB2312" w:cs="仿宋_GB2312"/>
          <w:b w:val="0"/>
          <w:bCs w:val="0"/>
          <w:kern w:val="2"/>
          <w:sz w:val="32"/>
          <w:szCs w:val="32"/>
        </w:rPr>
        <w:t>个月，参保人员可通过缴费修复变动待遇等待期，每多缴纳</w:t>
      </w:r>
      <w:r>
        <w:rPr>
          <w:rFonts w:hint="eastAsia" w:ascii="仿宋_GB2312" w:hAnsi="仿宋_GB2312" w:eastAsia="仿宋_GB2312" w:cs="仿宋_GB2312"/>
          <w:b w:val="0"/>
          <w:bCs w:val="0"/>
          <w:kern w:val="2"/>
          <w:sz w:val="32"/>
          <w:szCs w:val="32"/>
          <w:lang w:eastAsia="zh-CN"/>
        </w:rPr>
        <w:t>１</w:t>
      </w:r>
      <w:r>
        <w:rPr>
          <w:rFonts w:hint="eastAsia" w:ascii="仿宋_GB2312" w:hAnsi="仿宋_GB2312" w:eastAsia="仿宋_GB2312" w:cs="仿宋_GB2312"/>
          <w:b w:val="0"/>
          <w:bCs w:val="0"/>
          <w:kern w:val="2"/>
          <w:sz w:val="32"/>
          <w:szCs w:val="32"/>
        </w:rPr>
        <w:t>年可减少</w:t>
      </w:r>
      <w:r>
        <w:rPr>
          <w:rFonts w:hint="eastAsia" w:ascii="仿宋_GB2312" w:hAnsi="仿宋_GB2312" w:eastAsia="仿宋_GB2312" w:cs="仿宋_GB2312"/>
          <w:b w:val="0"/>
          <w:bCs w:val="0"/>
          <w:kern w:val="2"/>
          <w:sz w:val="32"/>
          <w:szCs w:val="32"/>
          <w:lang w:eastAsia="zh-CN"/>
        </w:rPr>
        <w:t>１</w:t>
      </w:r>
      <w:r>
        <w:rPr>
          <w:rFonts w:hint="eastAsia" w:ascii="仿宋_GB2312" w:hAnsi="仿宋_GB2312" w:eastAsia="仿宋_GB2312" w:cs="仿宋_GB2312"/>
          <w:b w:val="0"/>
          <w:bCs w:val="0"/>
          <w:kern w:val="2"/>
          <w:sz w:val="32"/>
          <w:szCs w:val="32"/>
        </w:rPr>
        <w:t>个月变动待遇等待期。连续断缴</w:t>
      </w:r>
      <w:r>
        <w:rPr>
          <w:rFonts w:hint="eastAsia" w:ascii="仿宋_GB2312" w:hAnsi="仿宋_GB2312" w:eastAsia="仿宋_GB2312" w:cs="仿宋_GB2312"/>
          <w:b w:val="0"/>
          <w:bCs w:val="0"/>
          <w:kern w:val="2"/>
          <w:sz w:val="32"/>
          <w:szCs w:val="32"/>
          <w:lang w:eastAsia="zh-CN"/>
        </w:rPr>
        <w:t>４</w:t>
      </w:r>
      <w:r>
        <w:rPr>
          <w:rFonts w:hint="eastAsia" w:ascii="仿宋_GB2312" w:hAnsi="仿宋_GB2312" w:eastAsia="仿宋_GB2312" w:cs="仿宋_GB2312"/>
          <w:b w:val="0"/>
          <w:bCs w:val="0"/>
          <w:kern w:val="2"/>
          <w:sz w:val="32"/>
          <w:szCs w:val="32"/>
        </w:rPr>
        <w:t>年及以上的，修复后固定待遇等待期和变动待遇等待期之和原则上不少于</w:t>
      </w:r>
      <w:r>
        <w:rPr>
          <w:rFonts w:hint="eastAsia" w:ascii="仿宋_GB2312" w:hAnsi="仿宋_GB2312" w:eastAsia="仿宋_GB2312" w:cs="仿宋_GB2312"/>
          <w:b w:val="0"/>
          <w:bCs w:val="0"/>
          <w:kern w:val="2"/>
          <w:sz w:val="32"/>
          <w:szCs w:val="32"/>
          <w:lang w:eastAsia="zh-CN"/>
        </w:rPr>
        <w:t>９</w:t>
      </w:r>
      <w:r>
        <w:rPr>
          <w:rFonts w:hint="eastAsia" w:ascii="仿宋_GB2312" w:hAnsi="仿宋_GB2312" w:eastAsia="仿宋_GB2312" w:cs="仿宋_GB2312"/>
          <w:b w:val="0"/>
          <w:bCs w:val="0"/>
          <w:kern w:val="2"/>
          <w:sz w:val="32"/>
          <w:szCs w:val="32"/>
        </w:rPr>
        <w:t>个月。</w:t>
      </w:r>
    </w:p>
    <w:p w14:paraId="50211758">
      <w:pPr>
        <w:keepNext w:val="0"/>
        <w:keepLines w:val="0"/>
        <w:pageBreakBefore w:val="0"/>
        <w:widowControl w:val="0"/>
        <w:suppressLineNumbers w:val="0"/>
        <w:kinsoku/>
        <w:wordWrap/>
        <w:overflowPunct/>
        <w:autoSpaceDE w:val="0"/>
        <w:autoSpaceDN/>
        <w:bidi w:val="0"/>
        <w:adjustRightInd/>
        <w:snapToGrid/>
        <w:spacing w:line="560" w:lineRule="exact"/>
        <w:ind w:left="0" w:leftChars="0" w:firstLine="640"/>
        <w:textAlignment w:val="auto"/>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对连续参加长期护理保险满</w:t>
      </w:r>
      <w:r>
        <w:rPr>
          <w:rFonts w:hint="eastAsia" w:ascii="仿宋_GB2312" w:hAnsi="仿宋_GB2312" w:eastAsia="仿宋_GB2312" w:cs="仿宋_GB2312"/>
          <w:b w:val="0"/>
          <w:bCs w:val="0"/>
          <w:kern w:val="2"/>
          <w:sz w:val="32"/>
          <w:szCs w:val="32"/>
          <w:lang w:eastAsia="zh-CN"/>
        </w:rPr>
        <w:t>４</w:t>
      </w:r>
      <w:r>
        <w:rPr>
          <w:rFonts w:hint="eastAsia" w:ascii="仿宋_GB2312" w:hAnsi="仿宋_GB2312" w:eastAsia="仿宋_GB2312" w:cs="仿宋_GB2312"/>
          <w:b w:val="0"/>
          <w:bCs w:val="0"/>
          <w:kern w:val="2"/>
          <w:sz w:val="32"/>
          <w:szCs w:val="32"/>
        </w:rPr>
        <w:t>年的城乡居民，之后每连续参保</w:t>
      </w:r>
      <w:r>
        <w:rPr>
          <w:rFonts w:hint="eastAsia" w:ascii="仿宋_GB2312" w:hAnsi="仿宋_GB2312" w:eastAsia="仿宋_GB2312" w:cs="仿宋_GB2312"/>
          <w:b w:val="0"/>
          <w:bCs w:val="0"/>
          <w:kern w:val="2"/>
          <w:sz w:val="32"/>
          <w:szCs w:val="32"/>
          <w:lang w:eastAsia="zh-CN"/>
        </w:rPr>
        <w:t>１</w:t>
      </w:r>
      <w:r>
        <w:rPr>
          <w:rFonts w:hint="eastAsia" w:ascii="仿宋_GB2312" w:hAnsi="仿宋_GB2312" w:eastAsia="仿宋_GB2312" w:cs="仿宋_GB2312"/>
          <w:b w:val="0"/>
          <w:bCs w:val="0"/>
          <w:kern w:val="2"/>
          <w:sz w:val="32"/>
          <w:szCs w:val="32"/>
        </w:rPr>
        <w:t>年，每年长期护理保险基金支付比例提高</w:t>
      </w:r>
      <w:r>
        <w:rPr>
          <w:rFonts w:hint="eastAsia" w:ascii="仿宋_GB2312" w:hAnsi="仿宋_GB2312" w:eastAsia="仿宋_GB2312" w:cs="仿宋_GB2312"/>
          <w:b w:val="0"/>
          <w:bCs w:val="0"/>
          <w:kern w:val="2"/>
          <w:sz w:val="32"/>
          <w:szCs w:val="32"/>
          <w:lang w:eastAsia="zh-CN"/>
        </w:rPr>
        <w:t>１</w:t>
      </w:r>
      <w:r>
        <w:rPr>
          <w:rFonts w:hint="eastAsia" w:ascii="仿宋_GB2312" w:hAnsi="仿宋_GB2312" w:eastAsia="仿宋_GB2312" w:cs="仿宋_GB2312"/>
          <w:b w:val="0"/>
          <w:bCs w:val="0"/>
          <w:kern w:val="2"/>
          <w:sz w:val="32"/>
          <w:szCs w:val="32"/>
        </w:rPr>
        <w:t>个百分点，最高提高</w:t>
      </w:r>
      <w:r>
        <w:rPr>
          <w:rFonts w:hint="eastAsia" w:ascii="仿宋_GB2312" w:hAnsi="仿宋_GB2312" w:eastAsia="仿宋_GB2312" w:cs="仿宋_GB2312"/>
          <w:b w:val="0"/>
          <w:bCs w:val="0"/>
          <w:kern w:val="2"/>
          <w:sz w:val="32"/>
          <w:szCs w:val="32"/>
          <w:lang w:eastAsia="zh-CN"/>
        </w:rPr>
        <w:t>５</w:t>
      </w:r>
      <w:r>
        <w:rPr>
          <w:rFonts w:hint="eastAsia" w:ascii="仿宋_GB2312" w:hAnsi="仿宋_GB2312" w:eastAsia="仿宋_GB2312" w:cs="仿宋_GB2312"/>
          <w:b w:val="0"/>
          <w:bCs w:val="0"/>
          <w:kern w:val="2"/>
          <w:sz w:val="32"/>
          <w:szCs w:val="32"/>
        </w:rPr>
        <w:t>个百分点。中断缴费的，前期累计所提高的百分点清零。</w:t>
      </w:r>
    </w:p>
    <w:p w14:paraId="64032F89">
      <w:pPr>
        <w:keepNext w:val="0"/>
        <w:keepLines w:val="0"/>
        <w:pageBreakBefore w:val="0"/>
        <w:widowControl w:val="0"/>
        <w:suppressLineNumbers w:val="0"/>
        <w:kinsoku/>
        <w:wordWrap/>
        <w:overflowPunct/>
        <w:topLinePunct w:val="0"/>
        <w:autoSpaceDE w:val="0"/>
        <w:autoSpaceDN/>
        <w:bidi w:val="0"/>
        <w:adjustRightInd/>
        <w:snapToGrid/>
        <w:spacing w:line="560" w:lineRule="exact"/>
        <w:ind w:left="0" w:leftChars="0" w:right="0"/>
        <w:jc w:val="center"/>
        <w:textAlignment w:val="auto"/>
        <w:rPr>
          <w:rFonts w:hint="eastAsia" w:ascii="黑体" w:hAnsi="宋体" w:eastAsia="黑体" w:cs="黑体"/>
          <w:kern w:val="2"/>
          <w:sz w:val="32"/>
          <w:szCs w:val="32"/>
        </w:rPr>
      </w:pPr>
    </w:p>
    <w:p w14:paraId="3DE178C8">
      <w:pPr>
        <w:keepNext w:val="0"/>
        <w:keepLines w:val="0"/>
        <w:pageBreakBefore w:val="0"/>
        <w:widowControl w:val="0"/>
        <w:suppressLineNumbers w:val="0"/>
        <w:kinsoku/>
        <w:wordWrap/>
        <w:overflowPunct/>
        <w:autoSpaceDE w:val="0"/>
        <w:autoSpaceDN/>
        <w:bidi w:val="0"/>
        <w:adjustRightInd/>
        <w:snapToGrid/>
        <w:spacing w:line="560" w:lineRule="exact"/>
        <w:ind w:left="0" w:leftChars="0"/>
        <w:jc w:val="center"/>
        <w:textAlignment w:val="auto"/>
        <w:rPr>
          <w:rFonts w:hint="eastAsia" w:ascii="黑体" w:hAnsi="宋体" w:eastAsia="黑体" w:cs="黑体"/>
          <w:kern w:val="2"/>
          <w:sz w:val="32"/>
          <w:szCs w:val="32"/>
        </w:rPr>
      </w:pPr>
      <w:r>
        <w:rPr>
          <w:rFonts w:hint="eastAsia" w:ascii="黑体" w:hAnsi="宋体" w:eastAsia="黑体" w:cs="黑体"/>
          <w:kern w:val="2"/>
          <w:sz w:val="32"/>
          <w:szCs w:val="32"/>
        </w:rPr>
        <w:t>第</w:t>
      </w:r>
      <w:r>
        <w:rPr>
          <w:rFonts w:hint="eastAsia" w:ascii="黑体" w:hAnsi="宋体" w:eastAsia="黑体" w:cs="黑体"/>
          <w:kern w:val="2"/>
          <w:sz w:val="32"/>
          <w:szCs w:val="32"/>
          <w:lang w:val="en-US" w:eastAsia="zh-CN"/>
        </w:rPr>
        <w:t>三</w:t>
      </w:r>
      <w:r>
        <w:rPr>
          <w:rFonts w:hint="eastAsia" w:ascii="黑体" w:hAnsi="宋体" w:eastAsia="黑体" w:cs="黑体"/>
          <w:kern w:val="2"/>
          <w:sz w:val="32"/>
          <w:szCs w:val="32"/>
        </w:rPr>
        <w:t>章</w:t>
      </w:r>
      <w:r>
        <w:rPr>
          <w:rFonts w:hint="eastAsia" w:ascii="黑体" w:hAnsi="宋体" w:eastAsia="黑体" w:cs="黑体"/>
          <w:kern w:val="2"/>
          <w:sz w:val="32"/>
          <w:szCs w:val="32"/>
          <w:lang w:val="en-US" w:eastAsia="zh-CN"/>
        </w:rPr>
        <w:t xml:space="preserve">  </w:t>
      </w:r>
      <w:r>
        <w:rPr>
          <w:rFonts w:hint="eastAsia" w:ascii="黑体" w:hAnsi="宋体" w:eastAsia="黑体" w:cs="黑体"/>
          <w:kern w:val="2"/>
          <w:sz w:val="32"/>
          <w:szCs w:val="32"/>
        </w:rPr>
        <w:t>待遇保障</w:t>
      </w:r>
    </w:p>
    <w:p w14:paraId="64CF814A">
      <w:pPr>
        <w:pStyle w:val="2"/>
        <w:keepNext w:val="0"/>
        <w:keepLines w:val="0"/>
        <w:pageBreakBefore w:val="0"/>
        <w:widowControl w:val="0"/>
        <w:suppressLineNumbers w:val="0"/>
        <w:kinsoku/>
        <w:wordWrap/>
        <w:overflowPunct/>
        <w:autoSpaceDE w:val="0"/>
        <w:autoSpaceDN/>
        <w:bidi w:val="0"/>
        <w:adjustRightInd/>
        <w:snapToGrid/>
        <w:spacing w:line="560" w:lineRule="exact"/>
        <w:ind w:left="0" w:leftChars="0"/>
        <w:textAlignment w:val="auto"/>
        <w:rPr>
          <w:rFonts w:hint="eastAsia" w:ascii="Calibri" w:hAnsi="Calibri" w:eastAsia="宋体" w:cs="Times New Roman"/>
          <w:kern w:val="2"/>
          <w:sz w:val="21"/>
          <w:szCs w:val="21"/>
        </w:rPr>
      </w:pPr>
      <w:r>
        <w:rPr>
          <w:rFonts w:hint="eastAsia" w:ascii="Calibri" w:hAnsi="Calibri" w:eastAsia="宋体" w:cs="Times New Roman"/>
          <w:kern w:val="2"/>
          <w:sz w:val="21"/>
          <w:szCs w:val="21"/>
        </w:rPr>
        <w:t xml:space="preserve"> </w:t>
      </w:r>
    </w:p>
    <w:p w14:paraId="4EA9F50C">
      <w:pPr>
        <w:keepNext w:val="0"/>
        <w:keepLines w:val="0"/>
        <w:pageBreakBefore w:val="0"/>
        <w:widowControl w:val="0"/>
        <w:suppressLineNumbers w:val="0"/>
        <w:kinsoku/>
        <w:wordWrap/>
        <w:overflowPunct/>
        <w:autoSpaceDE w:val="0"/>
        <w:autoSpaceDN/>
        <w:bidi w:val="0"/>
        <w:adjustRightInd/>
        <w:snapToGrid/>
        <w:spacing w:line="560" w:lineRule="exact"/>
        <w:ind w:left="0" w:leftChars="0"/>
        <w:jc w:val="both"/>
        <w:textAlignment w:val="auto"/>
        <w:rPr>
          <w:rFonts w:hint="default" w:ascii="仿宋_GB2312" w:hAnsi="仿宋_GB2312" w:eastAsia="仿宋_GB2312" w:cs="仿宋_GB2312"/>
          <w:b w:val="0"/>
          <w:bCs w:val="0"/>
          <w:kern w:val="2"/>
          <w:sz w:val="32"/>
          <w:szCs w:val="32"/>
          <w:lang w:val="en-US"/>
        </w:rPr>
      </w:pPr>
      <w:r>
        <w:rPr>
          <w:rFonts w:hint="eastAsia" w:ascii="仿宋_GB2312" w:hAnsi="Calibri" w:eastAsia="仿宋_GB2312" w:cs="仿宋_GB2312"/>
          <w:kern w:val="2"/>
          <w:sz w:val="32"/>
          <w:szCs w:val="32"/>
        </w:rPr>
        <w:t xml:space="preserve">   </w:t>
      </w:r>
      <w:r>
        <w:rPr>
          <w:rFonts w:hint="eastAsia" w:ascii="黑体" w:hAnsi="宋体" w:eastAsia="黑体" w:cs="黑体"/>
          <w:kern w:val="2"/>
          <w:sz w:val="32"/>
          <w:szCs w:val="32"/>
        </w:rPr>
        <w:t xml:space="preserve"> 第</w:t>
      </w:r>
      <w:r>
        <w:rPr>
          <w:rFonts w:hint="eastAsia" w:ascii="黑体" w:hAnsi="宋体" w:eastAsia="黑体" w:cs="黑体"/>
          <w:kern w:val="2"/>
          <w:sz w:val="32"/>
          <w:szCs w:val="32"/>
          <w:lang w:val="en-US" w:eastAsia="zh-CN"/>
        </w:rPr>
        <w:t>九</w:t>
      </w:r>
      <w:r>
        <w:rPr>
          <w:rFonts w:hint="eastAsia" w:ascii="黑体" w:hAnsi="宋体" w:eastAsia="黑体" w:cs="黑体"/>
          <w:kern w:val="2"/>
          <w:sz w:val="32"/>
          <w:szCs w:val="32"/>
        </w:rPr>
        <w:t>条</w:t>
      </w:r>
      <w:r>
        <w:rPr>
          <w:rFonts w:hint="eastAsia" w:ascii="黑体" w:hAnsi="宋体" w:eastAsia="黑体" w:cs="黑体"/>
          <w:kern w:val="2"/>
          <w:sz w:val="32"/>
          <w:szCs w:val="32"/>
          <w:lang w:val="en-US" w:eastAsia="zh-CN"/>
        </w:rPr>
        <w:t xml:space="preserve">  </w:t>
      </w:r>
      <w:r>
        <w:rPr>
          <w:rFonts w:hint="eastAsia" w:ascii="仿宋_GB2312" w:hAnsi="仿宋_GB2312" w:eastAsia="仿宋_GB2312" w:cs="仿宋_GB2312"/>
          <w:b w:val="0"/>
          <w:bCs w:val="0"/>
          <w:kern w:val="2"/>
          <w:sz w:val="32"/>
          <w:szCs w:val="32"/>
          <w:lang w:val="en-US" w:eastAsia="zh-CN"/>
        </w:rPr>
        <w:t>保障对象。长期护理保险制度</w:t>
      </w:r>
      <w:r>
        <w:rPr>
          <w:rFonts w:hint="eastAsia" w:ascii="仿宋_GB2312" w:hAnsi="仿宋_GB2312" w:eastAsia="仿宋_GB2312" w:cs="仿宋_GB2312"/>
          <w:b w:val="0"/>
          <w:bCs w:val="0"/>
          <w:kern w:val="2"/>
          <w:sz w:val="32"/>
          <w:szCs w:val="32"/>
        </w:rPr>
        <w:t>起步阶段保障重度失能人员。按照规定参保缴费且失能状态长期持续（</w:t>
      </w:r>
      <w:r>
        <w:rPr>
          <w:rFonts w:hint="eastAsia" w:ascii="仿宋_GB2312" w:hAnsi="仿宋_GB2312" w:eastAsia="仿宋_GB2312" w:cs="仿宋_GB2312"/>
          <w:b w:val="0"/>
          <w:bCs w:val="0"/>
          <w:kern w:val="2"/>
          <w:sz w:val="32"/>
          <w:szCs w:val="32"/>
          <w:lang w:val="en-US" w:eastAsia="zh-CN"/>
        </w:rPr>
        <w:t>一般为6个月以上</w:t>
      </w:r>
      <w:r>
        <w:rPr>
          <w:rFonts w:hint="eastAsia" w:ascii="仿宋_GB2312" w:hAnsi="仿宋_GB2312" w:eastAsia="仿宋_GB2312" w:cs="仿宋_GB2312"/>
          <w:b w:val="0"/>
          <w:bCs w:val="0"/>
          <w:kern w:val="2"/>
          <w:sz w:val="32"/>
          <w:szCs w:val="32"/>
        </w:rPr>
        <w:t>），经申请通过评估认定的失能人员，可按照规定享受</w:t>
      </w:r>
      <w:r>
        <w:rPr>
          <w:rFonts w:hint="eastAsia" w:ascii="仿宋_GB2312" w:hAnsi="仿宋_GB2312" w:eastAsia="仿宋_GB2312" w:cs="仿宋_GB2312"/>
          <w:b w:val="0"/>
          <w:bCs w:val="0"/>
          <w:kern w:val="2"/>
          <w:sz w:val="32"/>
          <w:szCs w:val="32"/>
          <w:lang w:val="en-US" w:eastAsia="zh-CN"/>
        </w:rPr>
        <w:t>长期护理保险</w:t>
      </w:r>
      <w:r>
        <w:rPr>
          <w:rFonts w:hint="eastAsia" w:ascii="仿宋_GB2312" w:hAnsi="仿宋_GB2312" w:eastAsia="仿宋_GB2312" w:cs="仿宋_GB2312"/>
          <w:b w:val="0"/>
          <w:bCs w:val="0"/>
          <w:kern w:val="2"/>
          <w:sz w:val="32"/>
          <w:szCs w:val="32"/>
        </w:rPr>
        <w:t>待遇。</w:t>
      </w:r>
      <w:r>
        <w:rPr>
          <w:rFonts w:hint="eastAsia" w:ascii="仿宋_GB2312" w:hAnsi="仿宋_GB2312" w:eastAsia="仿宋_GB2312" w:cs="仿宋_GB2312"/>
          <w:b w:val="0"/>
          <w:bCs w:val="0"/>
          <w:kern w:val="2"/>
          <w:sz w:val="32"/>
          <w:szCs w:val="32"/>
          <w:lang w:val="en-US" w:eastAsia="zh-CN"/>
        </w:rPr>
        <w:t>随着经济发展和制度完善，根据国家要求逐步扩大保障对象范围，并根据基金支出需求动态调整费率。</w:t>
      </w:r>
    </w:p>
    <w:p w14:paraId="63CEE1DA">
      <w:pPr>
        <w:keepNext w:val="0"/>
        <w:keepLines w:val="0"/>
        <w:pageBreakBefore w:val="0"/>
        <w:widowControl w:val="0"/>
        <w:suppressLineNumbers w:val="0"/>
        <w:kinsoku/>
        <w:wordWrap/>
        <w:overflowPunct/>
        <w:autoSpaceDE w:val="0"/>
        <w:autoSpaceDN/>
        <w:bidi w:val="0"/>
        <w:adjustRightInd/>
        <w:snapToGrid/>
        <w:spacing w:line="560" w:lineRule="exact"/>
        <w:ind w:left="0" w:leftChars="0" w:firstLine="640"/>
        <w:textAlignment w:val="auto"/>
        <w:rPr>
          <w:rFonts w:hint="eastAsia" w:ascii="仿宋_GB2312" w:hAnsi="仿宋_GB2312" w:eastAsia="仿宋_GB2312" w:cs="仿宋_GB2312"/>
          <w:b w:val="0"/>
          <w:bCs w:val="0"/>
          <w:kern w:val="2"/>
          <w:sz w:val="32"/>
          <w:szCs w:val="32"/>
          <w:lang w:val="en-US" w:eastAsia="zh-CN"/>
        </w:rPr>
      </w:pPr>
      <w:r>
        <w:rPr>
          <w:rFonts w:hint="eastAsia" w:ascii="黑体" w:hAnsi="宋体" w:eastAsia="黑体" w:cs="黑体"/>
          <w:kern w:val="0"/>
          <w:sz w:val="32"/>
          <w:szCs w:val="32"/>
          <w:lang w:val="en-US" w:eastAsia="zh-CN"/>
        </w:rPr>
        <w:t xml:space="preserve">第十条  </w:t>
      </w:r>
      <w:r>
        <w:rPr>
          <w:rFonts w:hint="eastAsia" w:ascii="仿宋_GB2312" w:hAnsi="仿宋_GB2312" w:eastAsia="仿宋_GB2312" w:cs="仿宋_GB2312"/>
          <w:b w:val="0"/>
          <w:bCs w:val="0"/>
          <w:kern w:val="2"/>
          <w:sz w:val="32"/>
          <w:szCs w:val="32"/>
          <w:lang w:val="en-US" w:eastAsia="zh-CN"/>
        </w:rPr>
        <w:t>服务方式。支持机构护理、社区护理、居家护理等服务提供方式。</w:t>
      </w:r>
    </w:p>
    <w:p w14:paraId="0F720561">
      <w:pPr>
        <w:keepNext w:val="0"/>
        <w:keepLines w:val="0"/>
        <w:pageBreakBefore w:val="0"/>
        <w:widowControl w:val="0"/>
        <w:suppressLineNumbers w:val="0"/>
        <w:kinsoku/>
        <w:wordWrap/>
        <w:overflowPunct/>
        <w:autoSpaceDE w:val="0"/>
        <w:autoSpaceDN/>
        <w:bidi w:val="0"/>
        <w:adjustRightInd/>
        <w:snapToGrid/>
        <w:spacing w:line="560" w:lineRule="exact"/>
        <w:ind w:left="0" w:leftChars="0" w:firstLine="640"/>
        <w:textAlignment w:val="auto"/>
        <w:rPr>
          <w:rFonts w:hint="default" w:ascii="仿宋_GB2312" w:hAnsi="仿宋_GB2312" w:eastAsia="仿宋_GB2312" w:cs="仿宋_GB2312"/>
          <w:b w:val="0"/>
          <w:bCs w:val="0"/>
          <w:kern w:val="2"/>
          <w:sz w:val="32"/>
          <w:szCs w:val="32"/>
          <w:lang w:val="en-US" w:eastAsia="zh-CN"/>
        </w:rPr>
      </w:pPr>
      <w:r>
        <w:rPr>
          <w:rFonts w:hint="default" w:ascii="仿宋_GB2312" w:hAnsi="仿宋_GB2312" w:eastAsia="仿宋_GB2312" w:cs="仿宋_GB2312"/>
          <w:b w:val="0"/>
          <w:bCs w:val="0"/>
          <w:kern w:val="2"/>
          <w:sz w:val="32"/>
          <w:szCs w:val="32"/>
          <w:lang w:val="en-US" w:eastAsia="zh-CN"/>
        </w:rPr>
        <w:t>(一)居家护理,是指长护服务机构在参保人员所居住的家庭住所内为参保人员提供长期护理服务</w:t>
      </w:r>
      <w:r>
        <w:rPr>
          <w:rFonts w:hint="eastAsia" w:ascii="仿宋_GB2312" w:hAnsi="仿宋_GB2312" w:eastAsia="仿宋_GB2312" w:cs="仿宋_GB2312"/>
          <w:b w:val="0"/>
          <w:bCs w:val="0"/>
          <w:kern w:val="2"/>
          <w:sz w:val="32"/>
          <w:szCs w:val="32"/>
          <w:lang w:val="en-US" w:eastAsia="zh-CN"/>
        </w:rPr>
        <w:t>。</w:t>
      </w:r>
    </w:p>
    <w:p w14:paraId="59339A29">
      <w:pPr>
        <w:keepNext w:val="0"/>
        <w:keepLines w:val="0"/>
        <w:pageBreakBefore w:val="0"/>
        <w:widowControl w:val="0"/>
        <w:suppressLineNumbers w:val="0"/>
        <w:kinsoku/>
        <w:wordWrap/>
        <w:overflowPunct/>
        <w:autoSpaceDE w:val="0"/>
        <w:autoSpaceDN/>
        <w:bidi w:val="0"/>
        <w:adjustRightInd/>
        <w:snapToGrid/>
        <w:spacing w:line="560" w:lineRule="exact"/>
        <w:ind w:left="0" w:leftChars="0" w:firstLine="640"/>
        <w:textAlignment w:val="auto"/>
        <w:rPr>
          <w:rFonts w:hint="default" w:ascii="仿宋_GB2312" w:hAnsi="仿宋_GB2312" w:eastAsia="仿宋_GB2312" w:cs="仿宋_GB2312"/>
          <w:b w:val="0"/>
          <w:bCs w:val="0"/>
          <w:kern w:val="2"/>
          <w:sz w:val="32"/>
          <w:szCs w:val="32"/>
          <w:lang w:val="en-US" w:eastAsia="zh-CN"/>
        </w:rPr>
      </w:pPr>
      <w:r>
        <w:rPr>
          <w:rFonts w:hint="default" w:ascii="仿宋_GB2312" w:hAnsi="仿宋_GB2312" w:eastAsia="仿宋_GB2312" w:cs="仿宋_GB2312"/>
          <w:b w:val="0"/>
          <w:bCs w:val="0"/>
          <w:kern w:val="2"/>
          <w:sz w:val="32"/>
          <w:szCs w:val="32"/>
          <w:lang w:val="en-US" w:eastAsia="zh-CN"/>
        </w:rPr>
        <w:t>(二)社区护理,是指长护服务机构以社区为依托为参保人员提供就近就便、非全日的长期护理服务</w:t>
      </w:r>
      <w:r>
        <w:rPr>
          <w:rFonts w:hint="eastAsia" w:ascii="仿宋_GB2312" w:hAnsi="仿宋_GB2312" w:eastAsia="仿宋_GB2312" w:cs="仿宋_GB2312"/>
          <w:b w:val="0"/>
          <w:bCs w:val="0"/>
          <w:kern w:val="2"/>
          <w:sz w:val="32"/>
          <w:szCs w:val="32"/>
          <w:lang w:val="en-US" w:eastAsia="zh-CN"/>
        </w:rPr>
        <w:t>。</w:t>
      </w:r>
    </w:p>
    <w:p w14:paraId="5A92D6F6">
      <w:pPr>
        <w:keepNext w:val="0"/>
        <w:keepLines w:val="0"/>
        <w:pageBreakBefore w:val="0"/>
        <w:widowControl w:val="0"/>
        <w:suppressLineNumbers w:val="0"/>
        <w:kinsoku/>
        <w:wordWrap/>
        <w:overflowPunct/>
        <w:autoSpaceDE w:val="0"/>
        <w:autoSpaceDN/>
        <w:bidi w:val="0"/>
        <w:adjustRightInd/>
        <w:snapToGrid/>
        <w:spacing w:line="560" w:lineRule="exact"/>
        <w:ind w:left="0" w:leftChars="0" w:firstLine="640"/>
        <w:textAlignment w:val="auto"/>
        <w:rPr>
          <w:rFonts w:hint="eastAsia" w:ascii="仿宋_GB2312" w:hAnsi="仿宋_GB2312" w:eastAsia="仿宋_GB2312" w:cs="仿宋_GB2312"/>
          <w:b w:val="0"/>
          <w:bCs w:val="0"/>
          <w:kern w:val="2"/>
          <w:sz w:val="32"/>
          <w:szCs w:val="32"/>
        </w:rPr>
      </w:pPr>
      <w:r>
        <w:rPr>
          <w:rFonts w:hint="default" w:ascii="仿宋_GB2312" w:hAnsi="仿宋_GB2312" w:eastAsia="仿宋_GB2312" w:cs="仿宋_GB2312"/>
          <w:b w:val="0"/>
          <w:bCs w:val="0"/>
          <w:kern w:val="2"/>
          <w:sz w:val="32"/>
          <w:szCs w:val="32"/>
          <w:lang w:val="en-US" w:eastAsia="zh-CN"/>
        </w:rPr>
        <w:t>(三)机构护理,是指长护服务机构在所开设的机构内为参保人员提供全日的长期护理服务</w:t>
      </w:r>
      <w:r>
        <w:rPr>
          <w:rFonts w:hint="eastAsia" w:ascii="仿宋_GB2312" w:hAnsi="仿宋_GB2312" w:eastAsia="仿宋_GB2312" w:cs="仿宋_GB2312"/>
          <w:b w:val="0"/>
          <w:bCs w:val="0"/>
          <w:kern w:val="2"/>
          <w:sz w:val="32"/>
          <w:szCs w:val="32"/>
          <w:lang w:val="en-US" w:eastAsia="zh-CN"/>
        </w:rPr>
        <w:t>。</w:t>
      </w:r>
    </w:p>
    <w:p w14:paraId="59300C1F">
      <w:pPr>
        <w:keepNext w:val="0"/>
        <w:keepLines w:val="0"/>
        <w:pageBreakBefore w:val="0"/>
        <w:widowControl w:val="0"/>
        <w:suppressLineNumbers w:val="0"/>
        <w:kinsoku/>
        <w:wordWrap/>
        <w:overflowPunct/>
        <w:autoSpaceDE w:val="0"/>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val="0"/>
          <w:kern w:val="2"/>
          <w:sz w:val="32"/>
          <w:szCs w:val="32"/>
        </w:rPr>
      </w:pPr>
      <w:r>
        <w:rPr>
          <w:rFonts w:hint="eastAsia" w:ascii="黑体" w:hAnsi="宋体" w:eastAsia="黑体" w:cs="黑体"/>
          <w:kern w:val="0"/>
          <w:sz w:val="32"/>
          <w:szCs w:val="32"/>
        </w:rPr>
        <w:t>第</w:t>
      </w:r>
      <w:r>
        <w:rPr>
          <w:rFonts w:hint="eastAsia" w:ascii="黑体" w:hAnsi="宋体" w:eastAsia="黑体" w:cs="黑体"/>
          <w:kern w:val="0"/>
          <w:sz w:val="32"/>
          <w:szCs w:val="32"/>
          <w:lang w:val="en-US" w:eastAsia="zh-CN"/>
        </w:rPr>
        <w:t>十一</w:t>
      </w:r>
      <w:r>
        <w:rPr>
          <w:rFonts w:hint="eastAsia" w:ascii="黑体" w:hAnsi="宋体" w:eastAsia="黑体" w:cs="黑体"/>
          <w:kern w:val="0"/>
          <w:sz w:val="32"/>
          <w:szCs w:val="32"/>
        </w:rPr>
        <w:t>条</w:t>
      </w:r>
      <w:r>
        <w:rPr>
          <w:rFonts w:hint="eastAsia" w:ascii="黑体" w:hAnsi="宋体" w:eastAsia="黑体" w:cs="黑体"/>
          <w:kern w:val="0"/>
          <w:sz w:val="32"/>
          <w:szCs w:val="32"/>
          <w:lang w:val="en-US" w:eastAsia="zh-CN"/>
        </w:rPr>
        <w:t xml:space="preserve">  </w:t>
      </w:r>
      <w:r>
        <w:rPr>
          <w:rFonts w:hint="eastAsia" w:ascii="仿宋_GB2312" w:hAnsi="仿宋_GB2312" w:eastAsia="仿宋_GB2312" w:cs="仿宋_GB2312"/>
          <w:b w:val="0"/>
          <w:bCs w:val="0"/>
          <w:kern w:val="2"/>
          <w:sz w:val="32"/>
          <w:szCs w:val="32"/>
        </w:rPr>
        <w:t>待遇水平。</w:t>
      </w:r>
      <w:r>
        <w:rPr>
          <w:rFonts w:hint="eastAsia" w:ascii="仿宋_GB2312" w:hAnsi="仿宋_GB2312" w:eastAsia="仿宋_GB2312" w:cs="仿宋_GB2312"/>
          <w:b w:val="0"/>
          <w:bCs w:val="0"/>
          <w:kern w:val="2"/>
          <w:sz w:val="32"/>
          <w:szCs w:val="32"/>
          <w:lang w:eastAsia="zh-CN"/>
        </w:rPr>
        <w:t>长期护理保险</w:t>
      </w:r>
      <w:r>
        <w:rPr>
          <w:rFonts w:hint="eastAsia" w:ascii="仿宋_GB2312" w:hAnsi="仿宋_GB2312" w:eastAsia="仿宋_GB2312" w:cs="仿宋_GB2312"/>
          <w:b w:val="0"/>
          <w:bCs w:val="0"/>
          <w:kern w:val="2"/>
          <w:sz w:val="32"/>
          <w:szCs w:val="32"/>
        </w:rPr>
        <w:t>待遇不设起付线，根据参保人员类别、护理服务模式实行差异化基金支付比例和月度支付限额。</w:t>
      </w:r>
      <w:r>
        <w:rPr>
          <w:rFonts w:hint="eastAsia" w:ascii="仿宋_GB2312" w:hAnsi="仿宋_GB2312" w:eastAsia="仿宋_GB2312" w:cs="仿宋_GB2312"/>
          <w:b w:val="0"/>
          <w:bCs w:val="0"/>
          <w:kern w:val="2"/>
          <w:sz w:val="32"/>
          <w:szCs w:val="32"/>
          <w:lang w:val="en-US" w:eastAsia="zh-CN"/>
        </w:rPr>
        <w:t>参保人员基金</w:t>
      </w:r>
      <w:r>
        <w:rPr>
          <w:rFonts w:hint="eastAsia" w:ascii="仿宋_GB2312" w:hAnsi="仿宋_GB2312" w:eastAsia="仿宋_GB2312" w:cs="仿宋_GB2312"/>
          <w:b w:val="0"/>
          <w:bCs w:val="0"/>
          <w:kern w:val="2"/>
          <w:sz w:val="32"/>
          <w:szCs w:val="32"/>
        </w:rPr>
        <w:t>年度最高支付限额不超过我市上年度城乡居民人均可支配收入的50%。</w:t>
      </w:r>
    </w:p>
    <w:p w14:paraId="619EA2FA">
      <w:pPr>
        <w:keepNext w:val="0"/>
        <w:keepLines w:val="0"/>
        <w:pageBreakBefore w:val="0"/>
        <w:widowControl w:val="0"/>
        <w:suppressLineNumbers w:val="0"/>
        <w:kinsoku/>
        <w:wordWrap/>
        <w:overflowPunct/>
        <w:autoSpaceDE w:val="0"/>
        <w:autoSpaceDN/>
        <w:bidi w:val="0"/>
        <w:adjustRightInd/>
        <w:snapToGrid/>
        <w:spacing w:line="560" w:lineRule="exact"/>
        <w:ind w:left="0" w:leftChars="0" w:right="0" w:rightChars="0"/>
        <w:textAlignment w:val="auto"/>
        <w:rPr>
          <w:rFonts w:hint="eastAsia" w:ascii="仿宋_GB2312" w:hAnsi="仿宋_GB2312" w:eastAsia="仿宋_GB2312" w:cs="仿宋_GB2312"/>
          <w:b w:val="0"/>
          <w:bCs w:val="0"/>
          <w:kern w:val="2"/>
          <w:sz w:val="32"/>
          <w:szCs w:val="32"/>
        </w:rPr>
      </w:pPr>
      <w:r>
        <w:rPr>
          <w:rFonts w:hint="eastAsia" w:ascii="仿宋" w:hAnsi="仿宋" w:eastAsia="仿宋" w:cs="仿宋"/>
          <w:kern w:val="0"/>
          <w:sz w:val="32"/>
          <w:szCs w:val="32"/>
        </w:rPr>
        <w:t>　　</w:t>
      </w:r>
      <w:r>
        <w:rPr>
          <w:rFonts w:hint="eastAsia" w:ascii="方正楷体_GBK" w:hAnsi="方正楷体_GBK" w:eastAsia="方正楷体_GBK" w:cs="方正楷体_GBK"/>
          <w:b w:val="0"/>
          <w:bCs w:val="0"/>
          <w:kern w:val="2"/>
          <w:sz w:val="32"/>
          <w:szCs w:val="32"/>
        </w:rPr>
        <w:t>（一）</w:t>
      </w:r>
      <w:r>
        <w:rPr>
          <w:rFonts w:hint="eastAsia" w:ascii="方正楷体_GBK" w:hAnsi="方正楷体_GBK" w:eastAsia="方正楷体_GBK" w:cs="方正楷体_GBK"/>
          <w:b w:val="0"/>
          <w:bCs w:val="0"/>
          <w:kern w:val="2"/>
          <w:sz w:val="32"/>
          <w:szCs w:val="32"/>
          <w:lang w:val="en-US" w:eastAsia="zh-CN"/>
        </w:rPr>
        <w:t>就业人员</w:t>
      </w:r>
      <w:r>
        <w:rPr>
          <w:rFonts w:hint="eastAsia" w:ascii="方正楷体_GBK" w:hAnsi="方正楷体_GBK" w:eastAsia="方正楷体_GBK" w:cs="方正楷体_GBK"/>
          <w:b w:val="0"/>
          <w:bCs w:val="0"/>
          <w:kern w:val="2"/>
          <w:sz w:val="32"/>
          <w:szCs w:val="32"/>
        </w:rPr>
        <w:t>。</w:t>
      </w:r>
      <w:r>
        <w:rPr>
          <w:rFonts w:hint="eastAsia" w:ascii="仿宋_GB2312" w:hAnsi="仿宋_GB2312" w:eastAsia="仿宋_GB2312" w:cs="仿宋_GB2312"/>
          <w:b w:val="0"/>
          <w:bCs w:val="0"/>
          <w:kern w:val="2"/>
          <w:sz w:val="32"/>
          <w:szCs w:val="32"/>
        </w:rPr>
        <w:t>在职职工、退休人员、职工身份灵活就业人员发生的合规护理费用，执行以下支付标准：居家护理基金支付7</w:t>
      </w:r>
      <w:r>
        <w:rPr>
          <w:rFonts w:hint="eastAsia" w:ascii="仿宋_GB2312" w:hAnsi="仿宋_GB2312" w:eastAsia="仿宋_GB2312" w:cs="仿宋_GB2312"/>
          <w:b w:val="0"/>
          <w:bCs w:val="0"/>
          <w:kern w:val="2"/>
          <w:sz w:val="32"/>
          <w:szCs w:val="32"/>
          <w:lang w:val="en-US" w:eastAsia="zh-CN"/>
        </w:rPr>
        <w:t>5</w:t>
      </w:r>
      <w:r>
        <w:rPr>
          <w:rFonts w:hint="eastAsia" w:ascii="仿宋_GB2312" w:hAnsi="仿宋_GB2312" w:eastAsia="仿宋_GB2312" w:cs="仿宋_GB2312"/>
          <w:b w:val="0"/>
          <w:bCs w:val="0"/>
          <w:kern w:val="2"/>
          <w:sz w:val="32"/>
          <w:szCs w:val="32"/>
        </w:rPr>
        <w:t>%，月度限额</w:t>
      </w:r>
      <w:r>
        <w:rPr>
          <w:rFonts w:hint="eastAsia" w:ascii="仿宋_GB2312" w:hAnsi="仿宋_GB2312" w:eastAsia="仿宋_GB2312" w:cs="仿宋_GB2312"/>
          <w:b w:val="0"/>
          <w:bCs w:val="0"/>
          <w:kern w:val="2"/>
          <w:sz w:val="32"/>
          <w:szCs w:val="32"/>
          <w:lang w:val="en-US" w:eastAsia="zh-CN"/>
        </w:rPr>
        <w:t>1000</w:t>
      </w:r>
      <w:r>
        <w:rPr>
          <w:rFonts w:hint="eastAsia" w:ascii="仿宋_GB2312" w:hAnsi="仿宋_GB2312" w:eastAsia="仿宋_GB2312" w:cs="仿宋_GB2312"/>
          <w:b w:val="0"/>
          <w:bCs w:val="0"/>
          <w:kern w:val="2"/>
          <w:sz w:val="32"/>
          <w:szCs w:val="32"/>
        </w:rPr>
        <w:t>元；社区护理基金支付</w:t>
      </w:r>
      <w:r>
        <w:rPr>
          <w:rFonts w:hint="eastAsia" w:ascii="仿宋_GB2312" w:hAnsi="仿宋_GB2312" w:eastAsia="仿宋_GB2312" w:cs="仿宋_GB2312"/>
          <w:b w:val="0"/>
          <w:bCs w:val="0"/>
          <w:kern w:val="2"/>
          <w:sz w:val="32"/>
          <w:szCs w:val="32"/>
          <w:lang w:val="en-US" w:eastAsia="zh-CN"/>
        </w:rPr>
        <w:t>70</w:t>
      </w:r>
      <w:r>
        <w:rPr>
          <w:rFonts w:hint="eastAsia" w:ascii="仿宋_GB2312" w:hAnsi="仿宋_GB2312" w:eastAsia="仿宋_GB2312" w:cs="仿宋_GB2312"/>
          <w:b w:val="0"/>
          <w:bCs w:val="0"/>
          <w:kern w:val="2"/>
          <w:sz w:val="32"/>
          <w:szCs w:val="32"/>
        </w:rPr>
        <w:t>%，月度限额</w:t>
      </w:r>
      <w:r>
        <w:rPr>
          <w:rFonts w:hint="eastAsia" w:ascii="仿宋_GB2312" w:hAnsi="仿宋_GB2312" w:eastAsia="仿宋_GB2312" w:cs="仿宋_GB2312"/>
          <w:b w:val="0"/>
          <w:bCs w:val="0"/>
          <w:kern w:val="2"/>
          <w:sz w:val="32"/>
          <w:szCs w:val="32"/>
          <w:lang w:val="en-US" w:eastAsia="zh-CN"/>
        </w:rPr>
        <w:t>1100</w:t>
      </w:r>
      <w:r>
        <w:rPr>
          <w:rFonts w:hint="eastAsia" w:ascii="仿宋_GB2312" w:hAnsi="仿宋_GB2312" w:eastAsia="仿宋_GB2312" w:cs="仿宋_GB2312"/>
          <w:b w:val="0"/>
          <w:bCs w:val="0"/>
          <w:kern w:val="2"/>
          <w:sz w:val="32"/>
          <w:szCs w:val="32"/>
        </w:rPr>
        <w:t>元；机构护理基金支付</w:t>
      </w:r>
      <w:r>
        <w:rPr>
          <w:rFonts w:hint="eastAsia" w:ascii="仿宋_GB2312" w:hAnsi="仿宋_GB2312" w:eastAsia="仿宋_GB2312" w:cs="仿宋_GB2312"/>
          <w:b w:val="0"/>
          <w:bCs w:val="0"/>
          <w:kern w:val="2"/>
          <w:sz w:val="32"/>
          <w:szCs w:val="32"/>
          <w:lang w:val="en-US" w:eastAsia="zh-CN"/>
        </w:rPr>
        <w:t>65</w:t>
      </w:r>
      <w:r>
        <w:rPr>
          <w:rFonts w:hint="eastAsia" w:ascii="仿宋_GB2312" w:hAnsi="仿宋_GB2312" w:eastAsia="仿宋_GB2312" w:cs="仿宋_GB2312"/>
          <w:b w:val="0"/>
          <w:bCs w:val="0"/>
          <w:kern w:val="2"/>
          <w:sz w:val="32"/>
          <w:szCs w:val="32"/>
        </w:rPr>
        <w:t>%，月度限额1</w:t>
      </w:r>
      <w:r>
        <w:rPr>
          <w:rFonts w:hint="eastAsia" w:ascii="仿宋_GB2312" w:hAnsi="仿宋_GB2312" w:eastAsia="仿宋_GB2312" w:cs="仿宋_GB2312"/>
          <w:b w:val="0"/>
          <w:bCs w:val="0"/>
          <w:kern w:val="2"/>
          <w:sz w:val="32"/>
          <w:szCs w:val="32"/>
          <w:lang w:val="en-US" w:eastAsia="zh-CN"/>
        </w:rPr>
        <w:t>2</w:t>
      </w:r>
      <w:r>
        <w:rPr>
          <w:rFonts w:hint="eastAsia" w:ascii="仿宋_GB2312" w:hAnsi="仿宋_GB2312" w:eastAsia="仿宋_GB2312" w:cs="仿宋_GB2312"/>
          <w:b w:val="0"/>
          <w:bCs w:val="0"/>
          <w:kern w:val="2"/>
          <w:sz w:val="32"/>
          <w:szCs w:val="32"/>
        </w:rPr>
        <w:t>00元。</w:t>
      </w:r>
    </w:p>
    <w:p w14:paraId="6ED4888D">
      <w:pPr>
        <w:keepNext w:val="0"/>
        <w:keepLines w:val="0"/>
        <w:pageBreakBefore w:val="0"/>
        <w:widowControl w:val="0"/>
        <w:suppressLineNumbers w:val="0"/>
        <w:kinsoku/>
        <w:wordWrap/>
        <w:overflowPunct/>
        <w:autoSpaceDE w:val="0"/>
        <w:autoSpaceDN/>
        <w:bidi w:val="0"/>
        <w:adjustRightInd/>
        <w:snapToGrid/>
        <w:spacing w:line="560" w:lineRule="exact"/>
        <w:ind w:left="0" w:leftChars="0" w:right="0" w:rightChars="0"/>
        <w:textAlignment w:val="auto"/>
        <w:rPr>
          <w:rFonts w:hint="eastAsia" w:ascii="仿宋_GB2312" w:hAnsi="仿宋_GB2312" w:eastAsia="仿宋_GB2312" w:cs="仿宋_GB2312"/>
          <w:b w:val="0"/>
          <w:bCs w:val="0"/>
          <w:kern w:val="2"/>
          <w:sz w:val="32"/>
          <w:szCs w:val="32"/>
        </w:rPr>
      </w:pPr>
      <w:r>
        <w:rPr>
          <w:rFonts w:hint="eastAsia" w:ascii="仿宋" w:hAnsi="仿宋" w:eastAsia="仿宋" w:cs="仿宋"/>
          <w:kern w:val="0"/>
          <w:sz w:val="32"/>
          <w:szCs w:val="32"/>
        </w:rPr>
        <w:t>　　</w:t>
      </w:r>
      <w:r>
        <w:rPr>
          <w:rFonts w:hint="eastAsia" w:ascii="方正楷体_GBK" w:hAnsi="方正楷体_GBK" w:eastAsia="方正楷体_GBK" w:cs="方正楷体_GBK"/>
          <w:b w:val="0"/>
          <w:bCs w:val="0"/>
          <w:kern w:val="2"/>
          <w:sz w:val="32"/>
          <w:szCs w:val="32"/>
        </w:rPr>
        <w:t>（二）</w:t>
      </w:r>
      <w:r>
        <w:rPr>
          <w:rFonts w:hint="eastAsia" w:ascii="方正楷体_GBK" w:hAnsi="方正楷体_GBK" w:eastAsia="方正楷体_GBK" w:cs="方正楷体_GBK"/>
          <w:b w:val="0"/>
          <w:bCs w:val="0"/>
          <w:kern w:val="2"/>
          <w:sz w:val="32"/>
          <w:szCs w:val="32"/>
          <w:lang w:val="en-US" w:eastAsia="zh-CN"/>
        </w:rPr>
        <w:t>未就业人员</w:t>
      </w:r>
      <w:r>
        <w:rPr>
          <w:rFonts w:hint="eastAsia" w:ascii="方正楷体_GBK" w:hAnsi="方正楷体_GBK" w:eastAsia="方正楷体_GBK" w:cs="方正楷体_GBK"/>
          <w:b w:val="0"/>
          <w:bCs w:val="0"/>
          <w:kern w:val="2"/>
          <w:sz w:val="32"/>
          <w:szCs w:val="32"/>
        </w:rPr>
        <w:t>。</w:t>
      </w:r>
      <w:r>
        <w:rPr>
          <w:rFonts w:hint="eastAsia" w:ascii="仿宋_GB2312" w:hAnsi="仿宋_GB2312" w:eastAsia="仿宋_GB2312" w:cs="仿宋_GB2312"/>
          <w:b w:val="0"/>
          <w:bCs w:val="0"/>
          <w:kern w:val="2"/>
          <w:sz w:val="32"/>
          <w:szCs w:val="32"/>
        </w:rPr>
        <w:t>城乡居民、居民身份灵活就业人员、随保未成年人发生的合规护理费用，执行以下支付标准：居家护理基金支付5</w:t>
      </w:r>
      <w:r>
        <w:rPr>
          <w:rFonts w:hint="eastAsia" w:ascii="仿宋_GB2312" w:hAnsi="仿宋_GB2312" w:eastAsia="仿宋_GB2312" w:cs="仿宋_GB2312"/>
          <w:b w:val="0"/>
          <w:bCs w:val="0"/>
          <w:kern w:val="2"/>
          <w:sz w:val="32"/>
          <w:szCs w:val="32"/>
          <w:lang w:val="en-US" w:eastAsia="zh-CN"/>
        </w:rPr>
        <w:t>5</w:t>
      </w:r>
      <w:r>
        <w:rPr>
          <w:rFonts w:hint="eastAsia" w:ascii="仿宋_GB2312" w:hAnsi="仿宋_GB2312" w:eastAsia="仿宋_GB2312" w:cs="仿宋_GB2312"/>
          <w:b w:val="0"/>
          <w:bCs w:val="0"/>
          <w:kern w:val="2"/>
          <w:sz w:val="32"/>
          <w:szCs w:val="32"/>
        </w:rPr>
        <w:t>%，月度限额</w:t>
      </w:r>
      <w:r>
        <w:rPr>
          <w:rFonts w:hint="eastAsia" w:ascii="仿宋_GB2312" w:hAnsi="仿宋_GB2312" w:eastAsia="仿宋_GB2312" w:cs="仿宋_GB2312"/>
          <w:b w:val="0"/>
          <w:bCs w:val="0"/>
          <w:kern w:val="2"/>
          <w:sz w:val="32"/>
          <w:szCs w:val="32"/>
          <w:lang w:val="en-US" w:eastAsia="zh-CN"/>
        </w:rPr>
        <w:t>900</w:t>
      </w:r>
      <w:r>
        <w:rPr>
          <w:rFonts w:hint="eastAsia" w:ascii="仿宋_GB2312" w:hAnsi="仿宋_GB2312" w:eastAsia="仿宋_GB2312" w:cs="仿宋_GB2312"/>
          <w:b w:val="0"/>
          <w:bCs w:val="0"/>
          <w:kern w:val="2"/>
          <w:sz w:val="32"/>
          <w:szCs w:val="32"/>
        </w:rPr>
        <w:t>元；社区护理基金支付</w:t>
      </w:r>
      <w:r>
        <w:rPr>
          <w:rFonts w:hint="eastAsia" w:ascii="仿宋_GB2312" w:hAnsi="仿宋_GB2312" w:eastAsia="仿宋_GB2312" w:cs="仿宋_GB2312"/>
          <w:b w:val="0"/>
          <w:bCs w:val="0"/>
          <w:kern w:val="2"/>
          <w:sz w:val="32"/>
          <w:szCs w:val="32"/>
          <w:lang w:val="en-US" w:eastAsia="zh-CN"/>
        </w:rPr>
        <w:t>50</w:t>
      </w:r>
      <w:r>
        <w:rPr>
          <w:rFonts w:hint="eastAsia" w:ascii="仿宋_GB2312" w:hAnsi="仿宋_GB2312" w:eastAsia="仿宋_GB2312" w:cs="仿宋_GB2312"/>
          <w:b w:val="0"/>
          <w:bCs w:val="0"/>
          <w:kern w:val="2"/>
          <w:sz w:val="32"/>
          <w:szCs w:val="32"/>
        </w:rPr>
        <w:t>%，月度限额</w:t>
      </w:r>
      <w:r>
        <w:rPr>
          <w:rFonts w:hint="eastAsia" w:ascii="仿宋_GB2312" w:hAnsi="仿宋_GB2312" w:eastAsia="仿宋_GB2312" w:cs="仿宋_GB2312"/>
          <w:b w:val="0"/>
          <w:bCs w:val="0"/>
          <w:kern w:val="2"/>
          <w:sz w:val="32"/>
          <w:szCs w:val="32"/>
          <w:lang w:val="en-US" w:eastAsia="zh-CN"/>
        </w:rPr>
        <w:t>950</w:t>
      </w:r>
      <w:r>
        <w:rPr>
          <w:rFonts w:hint="eastAsia" w:ascii="仿宋_GB2312" w:hAnsi="仿宋_GB2312" w:eastAsia="仿宋_GB2312" w:cs="仿宋_GB2312"/>
          <w:b w:val="0"/>
          <w:bCs w:val="0"/>
          <w:kern w:val="2"/>
          <w:sz w:val="32"/>
          <w:szCs w:val="32"/>
        </w:rPr>
        <w:t>元；机构护理基金支付</w:t>
      </w:r>
      <w:r>
        <w:rPr>
          <w:rFonts w:hint="eastAsia" w:ascii="仿宋_GB2312" w:hAnsi="仿宋_GB2312" w:eastAsia="仿宋_GB2312" w:cs="仿宋_GB2312"/>
          <w:b w:val="0"/>
          <w:bCs w:val="0"/>
          <w:kern w:val="2"/>
          <w:sz w:val="32"/>
          <w:szCs w:val="32"/>
          <w:lang w:val="en-US" w:eastAsia="zh-CN"/>
        </w:rPr>
        <w:t>45</w:t>
      </w:r>
      <w:r>
        <w:rPr>
          <w:rFonts w:hint="eastAsia" w:ascii="仿宋_GB2312" w:hAnsi="仿宋_GB2312" w:eastAsia="仿宋_GB2312" w:cs="仿宋_GB2312"/>
          <w:b w:val="0"/>
          <w:bCs w:val="0"/>
          <w:kern w:val="2"/>
          <w:sz w:val="32"/>
          <w:szCs w:val="32"/>
        </w:rPr>
        <w:t>%，月度限额</w:t>
      </w:r>
      <w:r>
        <w:rPr>
          <w:rFonts w:hint="eastAsia" w:ascii="仿宋_GB2312" w:hAnsi="仿宋_GB2312" w:eastAsia="仿宋_GB2312" w:cs="仿宋_GB2312"/>
          <w:b w:val="0"/>
          <w:bCs w:val="0"/>
          <w:kern w:val="2"/>
          <w:sz w:val="32"/>
          <w:szCs w:val="32"/>
          <w:lang w:val="en-US" w:eastAsia="zh-CN"/>
        </w:rPr>
        <w:t>1000</w:t>
      </w:r>
      <w:r>
        <w:rPr>
          <w:rFonts w:hint="eastAsia" w:ascii="仿宋_GB2312" w:hAnsi="仿宋_GB2312" w:eastAsia="仿宋_GB2312" w:cs="仿宋_GB2312"/>
          <w:b w:val="0"/>
          <w:bCs w:val="0"/>
          <w:kern w:val="2"/>
          <w:sz w:val="32"/>
          <w:szCs w:val="32"/>
        </w:rPr>
        <w:t>元。</w:t>
      </w:r>
    </w:p>
    <w:p w14:paraId="0CD28345">
      <w:pPr>
        <w:keepNext w:val="0"/>
        <w:keepLines w:val="0"/>
        <w:pageBreakBefore w:val="0"/>
        <w:widowControl w:val="0"/>
        <w:suppressLineNumbers w:val="0"/>
        <w:kinsoku/>
        <w:wordWrap/>
        <w:overflowPunct/>
        <w:autoSpaceDE w:val="0"/>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rPr>
      </w:pPr>
      <w:r>
        <w:rPr>
          <w:rFonts w:hint="eastAsia" w:ascii="黑体" w:hAnsi="宋体" w:eastAsia="黑体" w:cs="黑体"/>
          <w:kern w:val="2"/>
          <w:sz w:val="32"/>
          <w:szCs w:val="32"/>
        </w:rPr>
        <w:t>第十</w:t>
      </w:r>
      <w:r>
        <w:rPr>
          <w:rFonts w:hint="eastAsia" w:ascii="黑体" w:hAnsi="宋体" w:eastAsia="黑体" w:cs="黑体"/>
          <w:kern w:val="2"/>
          <w:sz w:val="32"/>
          <w:szCs w:val="32"/>
          <w:lang w:val="en-US" w:eastAsia="zh-CN"/>
        </w:rPr>
        <w:t>二</w:t>
      </w:r>
      <w:r>
        <w:rPr>
          <w:rFonts w:hint="eastAsia" w:ascii="黑体" w:hAnsi="宋体" w:eastAsia="黑体" w:cs="黑体"/>
          <w:kern w:val="2"/>
          <w:sz w:val="32"/>
          <w:szCs w:val="32"/>
        </w:rPr>
        <w:t>条</w:t>
      </w:r>
      <w:r>
        <w:rPr>
          <w:rFonts w:hint="eastAsia" w:ascii="黑体" w:hAnsi="宋体" w:eastAsia="黑体" w:cs="黑体"/>
          <w:kern w:val="2"/>
          <w:sz w:val="32"/>
          <w:szCs w:val="32"/>
          <w:lang w:eastAsia="zh-CN"/>
        </w:rPr>
        <w:t>　</w:t>
      </w:r>
      <w:r>
        <w:rPr>
          <w:rFonts w:hint="eastAsia" w:ascii="仿宋_GB2312" w:hAnsi="仿宋_GB2312" w:eastAsia="仿宋_GB2312" w:cs="仿宋_GB2312"/>
          <w:b w:val="0"/>
          <w:bCs w:val="0"/>
          <w:kern w:val="2"/>
          <w:sz w:val="32"/>
          <w:szCs w:val="32"/>
          <w:lang w:val="en-US" w:eastAsia="zh-CN"/>
        </w:rPr>
        <w:t>支付范围。</w:t>
      </w:r>
      <w:r>
        <w:rPr>
          <w:rFonts w:hint="eastAsia" w:ascii="仿宋_GB2312" w:hAnsi="仿宋_GB2312" w:eastAsia="仿宋_GB2312" w:cs="仿宋_GB2312"/>
          <w:b w:val="0"/>
          <w:bCs w:val="0"/>
          <w:kern w:val="2"/>
          <w:sz w:val="32"/>
          <w:szCs w:val="32"/>
        </w:rPr>
        <w:t>执行国家统一的长期护理保险服务项目目录，不得随意调整</w:t>
      </w:r>
      <w:r>
        <w:rPr>
          <w:rFonts w:hint="eastAsia" w:ascii="仿宋_GB2312" w:hAnsi="仿宋_GB2312" w:eastAsia="仿宋_GB2312" w:cs="仿宋_GB2312"/>
          <w:b w:val="0"/>
          <w:bCs w:val="0"/>
          <w:kern w:val="2"/>
          <w:sz w:val="32"/>
          <w:szCs w:val="32"/>
          <w:lang w:eastAsia="zh-CN"/>
        </w:rPr>
        <w:t>。</w:t>
      </w:r>
      <w:r>
        <w:rPr>
          <w:rFonts w:hint="eastAsia" w:ascii="仿宋_GB2312" w:hAnsi="仿宋_GB2312" w:eastAsia="仿宋_GB2312" w:cs="仿宋_GB2312"/>
          <w:b w:val="0"/>
          <w:bCs w:val="0"/>
          <w:kern w:val="2"/>
          <w:sz w:val="32"/>
          <w:szCs w:val="32"/>
        </w:rPr>
        <w:t>基金主要用于支付符合规定的长期护理服务机构和人员提供长期护理基本服务所发生的费用，原则上不直接向保障对象发放现金。基金不予支付机构床位费、膳食费等非护理服务费用以及应由医疗保险支付的医疗费用和法律</w:t>
      </w:r>
      <w:r>
        <w:rPr>
          <w:rFonts w:hint="eastAsia" w:ascii="仿宋_GB2312" w:hAnsi="仿宋_GB2312" w:eastAsia="仿宋_GB2312" w:cs="仿宋_GB2312"/>
          <w:b w:val="0"/>
          <w:bCs w:val="0"/>
          <w:kern w:val="2"/>
          <w:sz w:val="32"/>
          <w:szCs w:val="32"/>
          <w:lang w:eastAsia="zh-CN"/>
        </w:rPr>
        <w:t>、</w:t>
      </w:r>
      <w:r>
        <w:rPr>
          <w:rFonts w:hint="eastAsia" w:ascii="仿宋_GB2312" w:hAnsi="仿宋_GB2312" w:eastAsia="仿宋_GB2312" w:cs="仿宋_GB2312"/>
          <w:b w:val="0"/>
          <w:bCs w:val="0"/>
          <w:kern w:val="2"/>
          <w:sz w:val="32"/>
          <w:szCs w:val="32"/>
        </w:rPr>
        <w:t>法规规定的其他不予支付的费用。</w:t>
      </w:r>
    </w:p>
    <w:p w14:paraId="4AA81501">
      <w:pPr>
        <w:keepNext w:val="0"/>
        <w:keepLines w:val="0"/>
        <w:pageBreakBefore w:val="0"/>
        <w:widowControl w:val="0"/>
        <w:suppressLineNumbers w:val="0"/>
        <w:kinsoku/>
        <w:wordWrap/>
        <w:overflowPunct/>
        <w:autoSpaceDE w:val="0"/>
        <w:autoSpaceDN/>
        <w:bidi w:val="0"/>
        <w:adjustRightInd/>
        <w:snapToGrid/>
        <w:spacing w:line="560" w:lineRule="exact"/>
        <w:ind w:left="0" w:leftChars="0" w:firstLine="640"/>
        <w:textAlignment w:val="auto"/>
        <w:rPr>
          <w:rFonts w:hint="eastAsia" w:ascii="仿宋_GB2312" w:hAnsi="Calibri" w:eastAsia="仿宋_GB2312" w:cs="仿宋_GB2312"/>
          <w:kern w:val="0"/>
          <w:sz w:val="32"/>
          <w:szCs w:val="32"/>
        </w:rPr>
      </w:pPr>
      <w:r>
        <w:rPr>
          <w:rFonts w:hint="eastAsia" w:ascii="黑体" w:hAnsi="宋体" w:eastAsia="黑体" w:cs="黑体"/>
          <w:kern w:val="2"/>
          <w:sz w:val="32"/>
          <w:szCs w:val="32"/>
        </w:rPr>
        <w:t>第十</w:t>
      </w:r>
      <w:r>
        <w:rPr>
          <w:rFonts w:hint="eastAsia" w:ascii="黑体" w:hAnsi="宋体" w:eastAsia="黑体" w:cs="黑体"/>
          <w:kern w:val="2"/>
          <w:sz w:val="32"/>
          <w:szCs w:val="32"/>
          <w:lang w:val="en-US" w:eastAsia="zh-CN"/>
        </w:rPr>
        <w:t>三</w:t>
      </w:r>
      <w:r>
        <w:rPr>
          <w:rFonts w:hint="eastAsia" w:ascii="黑体" w:hAnsi="宋体" w:eastAsia="黑体" w:cs="黑体"/>
          <w:kern w:val="2"/>
          <w:sz w:val="32"/>
          <w:szCs w:val="32"/>
        </w:rPr>
        <w:t>条</w:t>
      </w:r>
      <w:r>
        <w:rPr>
          <w:rFonts w:hint="eastAsia" w:ascii="黑体" w:hAnsi="宋体" w:eastAsia="黑体" w:cs="黑体"/>
          <w:kern w:val="2"/>
          <w:sz w:val="32"/>
          <w:szCs w:val="32"/>
          <w:lang w:eastAsia="zh-CN"/>
        </w:rPr>
        <w:t>　</w:t>
      </w:r>
      <w:r>
        <w:rPr>
          <w:rFonts w:hint="eastAsia" w:ascii="仿宋_GB2312" w:hAnsi="仿宋_GB2312" w:eastAsia="仿宋_GB2312" w:cs="仿宋_GB2312"/>
          <w:b w:val="0"/>
          <w:bCs w:val="0"/>
          <w:kern w:val="2"/>
          <w:sz w:val="32"/>
          <w:szCs w:val="32"/>
          <w:lang w:val="en-US" w:eastAsia="zh-CN"/>
        </w:rPr>
        <w:t>政策衔接。</w:t>
      </w:r>
      <w:r>
        <w:rPr>
          <w:rFonts w:hint="eastAsia" w:ascii="仿宋_GB2312" w:hAnsi="仿宋_GB2312" w:eastAsia="仿宋_GB2312" w:cs="仿宋_GB2312"/>
          <w:b w:val="0"/>
          <w:bCs w:val="0"/>
          <w:kern w:val="2"/>
          <w:sz w:val="32"/>
          <w:szCs w:val="32"/>
        </w:rPr>
        <w:t>领取工伤保险生活护理费用的参保人员，不重复享受长期护理保险相关服务待遇。按照国家统一部署，做好长期护理保险与经济困难的高龄、失能老年人补贴以及重度残疾人护理补贴等政策的衔接。</w:t>
      </w:r>
    </w:p>
    <w:p w14:paraId="6FE46E9D">
      <w:pPr>
        <w:keepNext w:val="0"/>
        <w:keepLines w:val="0"/>
        <w:pageBreakBefore w:val="0"/>
        <w:widowControl w:val="0"/>
        <w:suppressLineNumbers w:val="0"/>
        <w:kinsoku/>
        <w:wordWrap/>
        <w:overflowPunct/>
        <w:autoSpaceDE w:val="0"/>
        <w:autoSpaceDN/>
        <w:bidi w:val="0"/>
        <w:adjustRightInd/>
        <w:snapToGrid/>
        <w:spacing w:line="560" w:lineRule="exact"/>
        <w:ind w:left="0" w:leftChars="0"/>
        <w:jc w:val="center"/>
        <w:textAlignment w:val="auto"/>
        <w:rPr>
          <w:rFonts w:hint="eastAsia" w:ascii="黑体" w:hAnsi="宋体" w:eastAsia="黑体" w:cs="黑体"/>
          <w:kern w:val="2"/>
          <w:sz w:val="32"/>
          <w:szCs w:val="32"/>
        </w:rPr>
      </w:pPr>
    </w:p>
    <w:p w14:paraId="51DD39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jc w:val="center"/>
        <w:textAlignment w:val="auto"/>
        <w:outlineLvl w:val="0"/>
        <w:rPr>
          <w:rStyle w:val="9"/>
          <w:rFonts w:hint="eastAsia" w:ascii="黑体" w:hAnsi="黑体" w:eastAsia="黑体" w:cs="黑体"/>
          <w:b w:val="0"/>
          <w:bCs/>
          <w:color w:val="auto"/>
          <w:kern w:val="0"/>
          <w:sz w:val="32"/>
          <w:szCs w:val="32"/>
          <w:lang w:bidi="ar"/>
        </w:rPr>
      </w:pPr>
      <w:r>
        <w:rPr>
          <w:rFonts w:hint="eastAsia" w:ascii="黑体" w:hAnsi="黑体" w:eastAsia="黑体" w:cs="黑体"/>
          <w:b w:val="0"/>
          <w:bCs/>
          <w:color w:val="auto"/>
          <w:kern w:val="0"/>
          <w:sz w:val="32"/>
          <w:szCs w:val="32"/>
          <w:lang w:val="en-US" w:eastAsia="zh-CN" w:bidi="ar"/>
        </w:rPr>
        <w:t>第四章</w:t>
      </w:r>
      <w:r>
        <w:rPr>
          <w:rStyle w:val="9"/>
          <w:rFonts w:hint="eastAsia" w:ascii="黑体" w:hAnsi="黑体" w:eastAsia="黑体" w:cs="黑体"/>
          <w:b w:val="0"/>
          <w:bCs/>
          <w:color w:val="auto"/>
          <w:kern w:val="0"/>
          <w:sz w:val="32"/>
          <w:szCs w:val="32"/>
          <w:lang w:val="en-US" w:eastAsia="zh-CN" w:bidi="ar"/>
        </w:rPr>
        <w:t xml:space="preserve">  </w:t>
      </w:r>
      <w:r>
        <w:rPr>
          <w:rStyle w:val="9"/>
          <w:rFonts w:hint="eastAsia" w:ascii="黑体" w:hAnsi="黑体" w:eastAsia="黑体" w:cs="黑体"/>
          <w:b w:val="0"/>
          <w:bCs/>
          <w:color w:val="auto"/>
          <w:kern w:val="0"/>
          <w:sz w:val="32"/>
          <w:szCs w:val="32"/>
          <w:lang w:bidi="ar"/>
        </w:rPr>
        <w:t>评估管理</w:t>
      </w:r>
    </w:p>
    <w:p w14:paraId="42A3E173">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jc w:val="both"/>
        <w:textAlignment w:val="auto"/>
        <w:rPr>
          <w:rFonts w:hint="eastAsia"/>
          <w:color w:val="auto"/>
        </w:rPr>
      </w:pPr>
    </w:p>
    <w:p w14:paraId="7235E54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eastAsia="zh-CN"/>
        </w:rPr>
      </w:pPr>
      <w:r>
        <w:rPr>
          <w:rFonts w:hint="eastAsia" w:ascii="黑体" w:hAnsi="宋体" w:eastAsia="黑体" w:cs="黑体"/>
          <w:kern w:val="2"/>
          <w:sz w:val="32"/>
          <w:szCs w:val="32"/>
        </w:rPr>
        <w:t>第十</w:t>
      </w:r>
      <w:r>
        <w:rPr>
          <w:rFonts w:hint="eastAsia" w:ascii="黑体" w:hAnsi="宋体" w:eastAsia="黑体" w:cs="黑体"/>
          <w:kern w:val="2"/>
          <w:sz w:val="32"/>
          <w:szCs w:val="32"/>
          <w:lang w:val="en-US" w:eastAsia="zh-CN"/>
        </w:rPr>
        <w:t>四</w:t>
      </w:r>
      <w:r>
        <w:rPr>
          <w:rFonts w:hint="eastAsia" w:ascii="黑体" w:hAnsi="宋体" w:eastAsia="黑体" w:cs="黑体"/>
          <w:kern w:val="2"/>
          <w:sz w:val="32"/>
          <w:szCs w:val="32"/>
        </w:rPr>
        <w:t>条</w:t>
      </w:r>
      <w:r>
        <w:rPr>
          <w:rFonts w:hint="eastAsia" w:ascii="黑体" w:hAnsi="宋体" w:eastAsia="黑体" w:cs="黑体"/>
          <w:kern w:val="2"/>
          <w:sz w:val="32"/>
          <w:szCs w:val="32"/>
          <w:lang w:eastAsia="zh-CN"/>
        </w:rPr>
        <w:t>　</w:t>
      </w:r>
      <w:r>
        <w:rPr>
          <w:rFonts w:hint="eastAsia" w:ascii="仿宋_GB2312" w:hAnsi="仿宋_GB2312" w:eastAsia="仿宋_GB2312" w:cs="仿宋_GB2312"/>
          <w:b w:val="0"/>
          <w:bCs w:val="0"/>
          <w:kern w:val="2"/>
          <w:sz w:val="32"/>
          <w:szCs w:val="32"/>
          <w:lang w:val="en-US" w:eastAsia="zh-CN"/>
        </w:rPr>
        <w:t>执行</w:t>
      </w:r>
      <w:r>
        <w:rPr>
          <w:rFonts w:hint="eastAsia" w:ascii="仿宋_GB2312" w:hAnsi="仿宋_GB2312" w:eastAsia="仿宋_GB2312" w:cs="仿宋_GB2312"/>
          <w:b w:val="0"/>
          <w:bCs w:val="0"/>
          <w:kern w:val="2"/>
          <w:sz w:val="32"/>
          <w:szCs w:val="32"/>
        </w:rPr>
        <w:t>全国统一的长期护理保险失能等级评估标准、操作指南和管理办法，按规定落实评估结果全省范围互认、有关部门按需使用。医疗保障行政部门制定失能评估管理办法实施细则，医疗保障经办机构具体负责辖区内长期护理保险失能等级评估的组织实施和管理工作</w:t>
      </w:r>
      <w:r>
        <w:rPr>
          <w:rFonts w:hint="eastAsia" w:ascii="仿宋_GB2312" w:hAnsi="仿宋_GB2312" w:eastAsia="仿宋_GB2312" w:cs="仿宋_GB2312"/>
          <w:b w:val="0"/>
          <w:bCs w:val="0"/>
          <w:kern w:val="2"/>
          <w:sz w:val="32"/>
          <w:szCs w:val="32"/>
          <w:lang w:eastAsia="zh-CN"/>
        </w:rPr>
        <w:t>。</w:t>
      </w:r>
    </w:p>
    <w:p w14:paraId="3A612CE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bCs w:val="0"/>
          <w:kern w:val="2"/>
          <w:sz w:val="32"/>
          <w:szCs w:val="32"/>
        </w:rPr>
      </w:pPr>
      <w:r>
        <w:rPr>
          <w:rFonts w:hint="eastAsia" w:ascii="黑体" w:hAnsi="宋体" w:eastAsia="黑体" w:cs="黑体"/>
          <w:kern w:val="2"/>
          <w:sz w:val="32"/>
          <w:szCs w:val="32"/>
        </w:rPr>
        <w:t>第十</w:t>
      </w:r>
      <w:r>
        <w:rPr>
          <w:rFonts w:hint="eastAsia" w:ascii="黑体" w:hAnsi="宋体" w:eastAsia="黑体" w:cs="黑体"/>
          <w:kern w:val="2"/>
          <w:sz w:val="32"/>
          <w:szCs w:val="32"/>
          <w:lang w:val="en-US" w:eastAsia="zh-CN"/>
        </w:rPr>
        <w:t>五</w:t>
      </w:r>
      <w:r>
        <w:rPr>
          <w:rFonts w:hint="eastAsia" w:ascii="黑体" w:hAnsi="宋体" w:eastAsia="黑体" w:cs="黑体"/>
          <w:kern w:val="2"/>
          <w:sz w:val="32"/>
          <w:szCs w:val="32"/>
        </w:rPr>
        <w:t>条</w:t>
      </w:r>
      <w:r>
        <w:rPr>
          <w:rFonts w:hint="eastAsia" w:ascii="黑体" w:hAnsi="宋体" w:eastAsia="黑体" w:cs="黑体"/>
          <w:kern w:val="2"/>
          <w:sz w:val="32"/>
          <w:szCs w:val="32"/>
          <w:lang w:eastAsia="zh-CN"/>
        </w:rPr>
        <w:t>　</w:t>
      </w:r>
      <w:r>
        <w:rPr>
          <w:rFonts w:hint="eastAsia" w:ascii="仿宋_GB2312" w:hAnsi="仿宋_GB2312" w:eastAsia="仿宋_GB2312" w:cs="仿宋_GB2312"/>
          <w:b w:val="0"/>
          <w:bCs w:val="0"/>
          <w:kern w:val="2"/>
          <w:sz w:val="32"/>
          <w:szCs w:val="32"/>
        </w:rPr>
        <w:t>支持发展独立的评估机构，实行定点管理。发挥家庭医生、养老服务师在评估和服务计划制定中的作用。暂不具备独立定点条件时，可依托</w:t>
      </w:r>
      <w:r>
        <w:rPr>
          <w:rFonts w:hint="eastAsia" w:ascii="仿宋_GB2312" w:hAnsi="仿宋_GB2312" w:eastAsia="仿宋_GB2312" w:cs="仿宋_GB2312"/>
          <w:b w:val="0"/>
          <w:bCs w:val="0"/>
          <w:kern w:val="2"/>
          <w:sz w:val="32"/>
          <w:szCs w:val="32"/>
          <w:lang w:eastAsia="zh-CN"/>
        </w:rPr>
        <w:t>医疗保障</w:t>
      </w:r>
      <w:r>
        <w:rPr>
          <w:rFonts w:hint="eastAsia" w:ascii="仿宋_GB2312" w:hAnsi="仿宋_GB2312" w:eastAsia="仿宋_GB2312" w:cs="仿宋_GB2312"/>
          <w:b w:val="0"/>
          <w:bCs w:val="0"/>
          <w:kern w:val="2"/>
          <w:sz w:val="32"/>
          <w:szCs w:val="32"/>
        </w:rPr>
        <w:t>部门认定的医疗机构、劳动能力鉴定机构、商业保险机构等实施评估</w:t>
      </w:r>
      <w:r>
        <w:rPr>
          <w:rFonts w:hint="eastAsia" w:ascii="仿宋_GB2312" w:hAnsi="仿宋_GB2312" w:eastAsia="仿宋_GB2312" w:cs="仿宋_GB2312"/>
          <w:b w:val="0"/>
          <w:bCs w:val="0"/>
          <w:kern w:val="2"/>
          <w:sz w:val="32"/>
          <w:szCs w:val="32"/>
          <w:lang w:eastAsia="zh-CN"/>
        </w:rPr>
        <w:t>，</w:t>
      </w:r>
      <w:r>
        <w:rPr>
          <w:rFonts w:hint="eastAsia" w:ascii="仿宋_GB2312" w:hAnsi="仿宋_GB2312" w:eastAsia="仿宋_GB2312" w:cs="仿宋_GB2312"/>
          <w:b w:val="0"/>
          <w:bCs w:val="0"/>
          <w:kern w:val="2"/>
          <w:sz w:val="32"/>
          <w:szCs w:val="32"/>
        </w:rPr>
        <w:t>逐步向独立的评估机构实施评估过渡。评估机构不得同时承担护理服务或常规经办业务。</w:t>
      </w:r>
    </w:p>
    <w:p w14:paraId="1EAF832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bCs w:val="0"/>
          <w:kern w:val="2"/>
          <w:sz w:val="32"/>
          <w:szCs w:val="32"/>
        </w:rPr>
      </w:pPr>
      <w:r>
        <w:rPr>
          <w:rFonts w:hint="eastAsia" w:ascii="黑体" w:hAnsi="宋体" w:eastAsia="黑体" w:cs="黑体"/>
          <w:kern w:val="2"/>
          <w:sz w:val="32"/>
          <w:szCs w:val="32"/>
        </w:rPr>
        <w:t>第十</w:t>
      </w:r>
      <w:r>
        <w:rPr>
          <w:rFonts w:hint="eastAsia" w:ascii="黑体" w:hAnsi="宋体" w:eastAsia="黑体" w:cs="黑体"/>
          <w:kern w:val="2"/>
          <w:sz w:val="32"/>
          <w:szCs w:val="32"/>
          <w:lang w:val="en-US" w:eastAsia="zh-CN"/>
        </w:rPr>
        <w:t>六</w:t>
      </w:r>
      <w:r>
        <w:rPr>
          <w:rFonts w:hint="eastAsia" w:ascii="黑体" w:hAnsi="宋体" w:eastAsia="黑体" w:cs="黑体"/>
          <w:kern w:val="2"/>
          <w:sz w:val="32"/>
          <w:szCs w:val="32"/>
        </w:rPr>
        <w:t>条</w:t>
      </w:r>
      <w:r>
        <w:rPr>
          <w:rFonts w:hint="eastAsia" w:ascii="黑体" w:hAnsi="宋体" w:eastAsia="黑体" w:cs="黑体"/>
          <w:kern w:val="2"/>
          <w:sz w:val="32"/>
          <w:szCs w:val="32"/>
          <w:lang w:eastAsia="zh-CN"/>
        </w:rPr>
        <w:t>　</w:t>
      </w:r>
      <w:r>
        <w:rPr>
          <w:rFonts w:hint="eastAsia" w:ascii="仿宋_GB2312" w:hAnsi="仿宋_GB2312" w:eastAsia="仿宋_GB2312" w:cs="仿宋_GB2312"/>
          <w:b w:val="0"/>
          <w:bCs w:val="0"/>
          <w:kern w:val="2"/>
          <w:sz w:val="32"/>
          <w:szCs w:val="32"/>
        </w:rPr>
        <w:t>医疗保障</w:t>
      </w:r>
      <w:r>
        <w:rPr>
          <w:rFonts w:hint="eastAsia" w:ascii="仿宋_GB2312" w:hAnsi="仿宋_GB2312" w:eastAsia="仿宋_GB2312" w:cs="仿宋_GB2312"/>
          <w:b w:val="0"/>
          <w:bCs w:val="0"/>
          <w:kern w:val="2"/>
          <w:sz w:val="32"/>
          <w:szCs w:val="32"/>
          <w:lang w:val="en-US" w:eastAsia="zh-CN"/>
        </w:rPr>
        <w:t>行政部门应</w:t>
      </w:r>
      <w:r>
        <w:rPr>
          <w:rFonts w:hint="eastAsia" w:ascii="仿宋_GB2312" w:hAnsi="仿宋_GB2312" w:eastAsia="仿宋_GB2312" w:cs="仿宋_GB2312"/>
          <w:b w:val="0"/>
          <w:bCs w:val="0"/>
          <w:kern w:val="2"/>
          <w:sz w:val="32"/>
          <w:szCs w:val="32"/>
        </w:rPr>
        <w:t>合理确定本统筹区定点评估机构数量，并在申请受理、协议管理等环节，对经办机构、定点评估机构进行监督。</w:t>
      </w:r>
    </w:p>
    <w:p w14:paraId="674725A6">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黑体" w:hAnsi="宋体" w:eastAsia="黑体" w:cs="黑体"/>
          <w:kern w:val="2"/>
          <w:sz w:val="32"/>
          <w:szCs w:val="32"/>
        </w:rPr>
        <w:t>第十</w:t>
      </w:r>
      <w:r>
        <w:rPr>
          <w:rFonts w:hint="eastAsia" w:ascii="黑体" w:hAnsi="宋体" w:eastAsia="黑体" w:cs="黑体"/>
          <w:kern w:val="2"/>
          <w:sz w:val="32"/>
          <w:szCs w:val="32"/>
          <w:lang w:val="en-US" w:eastAsia="zh-CN"/>
        </w:rPr>
        <w:t>七</w:t>
      </w:r>
      <w:r>
        <w:rPr>
          <w:rFonts w:hint="eastAsia" w:ascii="黑体" w:hAnsi="宋体" w:eastAsia="黑体" w:cs="黑体"/>
          <w:kern w:val="2"/>
          <w:sz w:val="32"/>
          <w:szCs w:val="32"/>
        </w:rPr>
        <w:t>条</w:t>
      </w:r>
      <w:r>
        <w:rPr>
          <w:rFonts w:hint="eastAsia" w:ascii="黑体" w:hAnsi="宋体" w:eastAsia="黑体" w:cs="黑体"/>
          <w:kern w:val="2"/>
          <w:sz w:val="32"/>
          <w:szCs w:val="32"/>
          <w:lang w:eastAsia="zh-CN"/>
        </w:rPr>
        <w:t>　</w:t>
      </w:r>
      <w:r>
        <w:rPr>
          <w:rFonts w:hint="eastAsia" w:ascii="仿宋_GB2312" w:hAnsi="仿宋_GB2312" w:eastAsia="仿宋_GB2312" w:cs="仿宋_GB2312"/>
          <w:b w:val="0"/>
          <w:bCs w:val="0"/>
          <w:kern w:val="2"/>
          <w:sz w:val="32"/>
          <w:szCs w:val="32"/>
          <w:lang w:val="en-US" w:eastAsia="zh-CN" w:bidi="ar-SA"/>
        </w:rPr>
        <w:t>建立健全评估服务费由基金和个人分担机制，可综合考虑评估结果等因素，明确评估服务费由基金和个人合理分担的具体情形，避免随意使用评估申请权。原则上参保人首次评估通过和按照制度要求参加定期复评的评估服务费由基金支付。评估费用标准由市医疗保障行政部门另行确定。评估服务费在申请时预交，评估通过后按规定返还。</w:t>
      </w:r>
    </w:p>
    <w:p w14:paraId="424BDEE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rPr>
      </w:pPr>
      <w:r>
        <w:rPr>
          <w:rFonts w:hint="eastAsia" w:ascii="黑体" w:hAnsi="宋体" w:eastAsia="黑体" w:cs="黑体"/>
          <w:kern w:val="2"/>
          <w:sz w:val="32"/>
          <w:szCs w:val="32"/>
        </w:rPr>
        <w:t>第十</w:t>
      </w:r>
      <w:r>
        <w:rPr>
          <w:rFonts w:hint="eastAsia" w:ascii="黑体" w:hAnsi="宋体" w:eastAsia="黑体" w:cs="黑体"/>
          <w:kern w:val="2"/>
          <w:sz w:val="32"/>
          <w:szCs w:val="32"/>
          <w:lang w:val="en-US" w:eastAsia="zh-CN"/>
        </w:rPr>
        <w:t>八</w:t>
      </w:r>
      <w:r>
        <w:rPr>
          <w:rFonts w:hint="eastAsia" w:ascii="黑体" w:hAnsi="宋体" w:eastAsia="黑体" w:cs="黑体"/>
          <w:kern w:val="2"/>
          <w:sz w:val="32"/>
          <w:szCs w:val="32"/>
        </w:rPr>
        <w:t>条</w:t>
      </w:r>
      <w:r>
        <w:rPr>
          <w:rFonts w:hint="eastAsia" w:ascii="黑体" w:hAnsi="宋体" w:eastAsia="黑体" w:cs="黑体"/>
          <w:kern w:val="2"/>
          <w:sz w:val="32"/>
          <w:szCs w:val="32"/>
          <w:lang w:val="en-US" w:eastAsia="zh-CN"/>
        </w:rPr>
        <w:t xml:space="preserve">  </w:t>
      </w:r>
      <w:r>
        <w:rPr>
          <w:rFonts w:hint="eastAsia" w:ascii="仿宋_GB2312" w:hAnsi="仿宋_GB2312" w:eastAsia="仿宋_GB2312" w:cs="仿宋_GB2312"/>
          <w:b w:val="0"/>
          <w:bCs w:val="0"/>
          <w:kern w:val="2"/>
          <w:sz w:val="32"/>
          <w:szCs w:val="32"/>
          <w:lang w:eastAsia="zh-CN"/>
        </w:rPr>
        <w:t>医疗保障经办机构</w:t>
      </w:r>
      <w:r>
        <w:rPr>
          <w:rFonts w:hint="eastAsia" w:ascii="仿宋_GB2312" w:hAnsi="仿宋_GB2312" w:eastAsia="仿宋_GB2312" w:cs="仿宋_GB2312"/>
          <w:b w:val="0"/>
          <w:bCs w:val="0"/>
          <w:kern w:val="2"/>
          <w:sz w:val="32"/>
          <w:szCs w:val="32"/>
        </w:rPr>
        <w:t>应做好失能评估过程记录和</w:t>
      </w:r>
      <w:r>
        <w:rPr>
          <w:rFonts w:hint="eastAsia" w:ascii="仿宋_GB2312" w:hAnsi="仿宋_GB2312" w:eastAsia="仿宋_GB2312" w:cs="仿宋_GB2312"/>
          <w:b w:val="0"/>
          <w:bCs w:val="0"/>
          <w:kern w:val="2"/>
          <w:sz w:val="32"/>
          <w:szCs w:val="32"/>
          <w:lang w:val="en-US" w:eastAsia="zh-CN"/>
        </w:rPr>
        <w:t>管理</w:t>
      </w:r>
      <w:r>
        <w:rPr>
          <w:rFonts w:hint="eastAsia" w:ascii="仿宋_GB2312" w:hAnsi="仿宋_GB2312" w:eastAsia="仿宋_GB2312" w:cs="仿宋_GB2312"/>
          <w:b w:val="0"/>
          <w:bCs w:val="0"/>
          <w:kern w:val="2"/>
          <w:sz w:val="32"/>
          <w:szCs w:val="32"/>
        </w:rPr>
        <w:t>，有效期内存在异常的</w:t>
      </w:r>
      <w:r>
        <w:rPr>
          <w:rFonts w:hint="eastAsia" w:ascii="仿宋_GB2312" w:hAnsi="仿宋_GB2312" w:eastAsia="仿宋_GB2312" w:cs="仿宋_GB2312"/>
          <w:b w:val="0"/>
          <w:bCs w:val="0"/>
          <w:kern w:val="2"/>
          <w:sz w:val="32"/>
          <w:szCs w:val="32"/>
          <w:lang w:eastAsia="zh-CN"/>
        </w:rPr>
        <w:t>医疗保障经办机构</w:t>
      </w:r>
      <w:r>
        <w:rPr>
          <w:rFonts w:hint="eastAsia" w:ascii="仿宋_GB2312" w:hAnsi="仿宋_GB2312" w:eastAsia="仿宋_GB2312" w:cs="仿宋_GB2312"/>
          <w:b w:val="0"/>
          <w:bCs w:val="0"/>
          <w:kern w:val="2"/>
          <w:sz w:val="32"/>
          <w:szCs w:val="32"/>
        </w:rPr>
        <w:t>应进行核查，失能等级发生变化或不符合</w:t>
      </w:r>
      <w:r>
        <w:rPr>
          <w:rFonts w:hint="eastAsia" w:ascii="仿宋_GB2312" w:hAnsi="仿宋_GB2312" w:eastAsia="仿宋_GB2312" w:cs="仿宋_GB2312"/>
          <w:b w:val="0"/>
          <w:bCs w:val="0"/>
          <w:kern w:val="2"/>
          <w:sz w:val="32"/>
          <w:szCs w:val="32"/>
          <w:lang w:eastAsia="zh-CN"/>
        </w:rPr>
        <w:t>长期护理保险</w:t>
      </w:r>
      <w:r>
        <w:rPr>
          <w:rFonts w:hint="eastAsia" w:ascii="仿宋_GB2312" w:hAnsi="仿宋_GB2312" w:eastAsia="仿宋_GB2312" w:cs="仿宋_GB2312"/>
          <w:b w:val="0"/>
          <w:bCs w:val="0"/>
          <w:kern w:val="2"/>
          <w:sz w:val="32"/>
          <w:szCs w:val="32"/>
        </w:rPr>
        <w:t>支付条件的，及时调整或终止其</w:t>
      </w:r>
      <w:r>
        <w:rPr>
          <w:rFonts w:hint="eastAsia" w:ascii="仿宋_GB2312" w:hAnsi="仿宋_GB2312" w:eastAsia="仿宋_GB2312" w:cs="仿宋_GB2312"/>
          <w:b w:val="0"/>
          <w:bCs w:val="0"/>
          <w:kern w:val="2"/>
          <w:sz w:val="32"/>
          <w:szCs w:val="32"/>
          <w:lang w:eastAsia="zh-CN"/>
        </w:rPr>
        <w:t>长期护理保险</w:t>
      </w:r>
      <w:r>
        <w:rPr>
          <w:rFonts w:hint="eastAsia" w:ascii="仿宋_GB2312" w:hAnsi="仿宋_GB2312" w:eastAsia="仿宋_GB2312" w:cs="仿宋_GB2312"/>
          <w:b w:val="0"/>
          <w:bCs w:val="0"/>
          <w:kern w:val="2"/>
          <w:sz w:val="32"/>
          <w:szCs w:val="32"/>
        </w:rPr>
        <w:t>待遇。参保人员在待遇享受期间应按规定接受</w:t>
      </w:r>
      <w:r>
        <w:rPr>
          <w:rFonts w:hint="eastAsia" w:ascii="仿宋_GB2312" w:hAnsi="仿宋_GB2312" w:eastAsia="仿宋_GB2312" w:cs="仿宋_GB2312"/>
          <w:b w:val="0"/>
          <w:bCs w:val="0"/>
          <w:kern w:val="2"/>
          <w:sz w:val="32"/>
          <w:szCs w:val="32"/>
          <w:lang w:val="en-US" w:eastAsia="zh-CN"/>
        </w:rPr>
        <w:t>核查</w:t>
      </w:r>
      <w:r>
        <w:rPr>
          <w:rFonts w:hint="eastAsia" w:ascii="仿宋_GB2312" w:hAnsi="仿宋_GB2312" w:eastAsia="仿宋_GB2312" w:cs="仿宋_GB2312"/>
          <w:b w:val="0"/>
          <w:bCs w:val="0"/>
          <w:kern w:val="2"/>
          <w:sz w:val="32"/>
          <w:szCs w:val="32"/>
        </w:rPr>
        <w:t>。</w:t>
      </w:r>
    </w:p>
    <w:p w14:paraId="1DA0C416">
      <w:pPr>
        <w:pStyle w:val="2"/>
        <w:keepNext w:val="0"/>
        <w:keepLines w:val="0"/>
        <w:pageBreakBefore w:val="0"/>
        <w:widowControl w:val="0"/>
        <w:kinsoku/>
        <w:wordWrap/>
        <w:overflowPunct/>
        <w:topLinePunct w:val="0"/>
        <w:autoSpaceDE/>
        <w:autoSpaceDN/>
        <w:bidi w:val="0"/>
        <w:adjustRightInd/>
        <w:snapToGrid/>
        <w:spacing w:line="560" w:lineRule="exact"/>
        <w:ind w:left="0" w:leftChars="0"/>
        <w:textAlignment w:val="auto"/>
        <w:rPr>
          <w:rFonts w:hint="eastAsia"/>
          <w:color w:val="auto"/>
          <w:sz w:val="32"/>
          <w:szCs w:val="32"/>
        </w:rPr>
      </w:pPr>
    </w:p>
    <w:p w14:paraId="3CC3A7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center"/>
        <w:textAlignment w:val="auto"/>
        <w:outlineLvl w:val="0"/>
        <w:rPr>
          <w:rStyle w:val="9"/>
          <w:rFonts w:hint="eastAsia" w:ascii="黑体" w:hAnsi="黑体" w:eastAsia="黑体" w:cs="黑体"/>
          <w:b w:val="0"/>
          <w:bCs/>
          <w:color w:val="auto"/>
          <w:kern w:val="0"/>
          <w:sz w:val="32"/>
          <w:szCs w:val="32"/>
          <w:lang w:bidi="ar"/>
        </w:rPr>
      </w:pPr>
      <w:r>
        <w:rPr>
          <w:rFonts w:hint="eastAsia" w:ascii="黑体" w:hAnsi="黑体" w:eastAsia="黑体" w:cs="黑体"/>
          <w:b w:val="0"/>
          <w:bCs/>
          <w:color w:val="auto"/>
          <w:kern w:val="0"/>
          <w:sz w:val="32"/>
          <w:szCs w:val="32"/>
          <w:lang w:val="en-US" w:eastAsia="zh-CN" w:bidi="ar"/>
        </w:rPr>
        <w:t xml:space="preserve">第五章  </w:t>
      </w:r>
      <w:r>
        <w:rPr>
          <w:rStyle w:val="9"/>
          <w:rFonts w:hint="eastAsia" w:ascii="黑体" w:hAnsi="黑体" w:eastAsia="黑体" w:cs="黑体"/>
          <w:b w:val="0"/>
          <w:bCs/>
          <w:color w:val="auto"/>
          <w:kern w:val="0"/>
          <w:sz w:val="32"/>
          <w:szCs w:val="32"/>
          <w:lang w:bidi="ar"/>
        </w:rPr>
        <w:t>服务管理</w:t>
      </w:r>
    </w:p>
    <w:p w14:paraId="334A52C9">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textAlignment w:val="auto"/>
        <w:rPr>
          <w:rFonts w:hint="eastAsia"/>
          <w:color w:val="auto"/>
          <w:sz w:val="32"/>
          <w:szCs w:val="32"/>
        </w:rPr>
      </w:pPr>
    </w:p>
    <w:p w14:paraId="5FB7408D">
      <w:pPr>
        <w:pStyle w:val="6"/>
        <w:keepNext w:val="0"/>
        <w:keepLines w:val="0"/>
        <w:pageBreakBefore w:val="0"/>
        <w:widowControl w:val="0"/>
        <w:kinsoku/>
        <w:wordWrap/>
        <w:overflowPunct/>
        <w:topLinePunct/>
        <w:autoSpaceDE w:val="0"/>
        <w:autoSpaceDN/>
        <w:bidi w:val="0"/>
        <w:adjustRightInd/>
        <w:snapToGrid/>
        <w:spacing w:before="0"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default" w:ascii="黑体" w:hAnsi="黑体" w:eastAsia="黑体" w:cs="黑体"/>
          <w:b w:val="0"/>
          <w:bCs w:val="0"/>
          <w:color w:val="auto"/>
          <w:kern w:val="0"/>
          <w:sz w:val="32"/>
          <w:szCs w:val="32"/>
          <w:highlight w:val="none"/>
          <w:lang w:val="en-US" w:eastAsia="zh-CN" w:bidi="ar"/>
        </w:rPr>
        <w:t>第</w:t>
      </w:r>
      <w:r>
        <w:rPr>
          <w:rFonts w:hint="eastAsia" w:ascii="黑体" w:hAnsi="黑体" w:eastAsia="黑体" w:cs="黑体"/>
          <w:b w:val="0"/>
          <w:bCs w:val="0"/>
          <w:color w:val="auto"/>
          <w:kern w:val="0"/>
          <w:sz w:val="32"/>
          <w:szCs w:val="32"/>
          <w:highlight w:val="none"/>
          <w:lang w:val="en-US" w:eastAsia="zh-CN" w:bidi="ar"/>
        </w:rPr>
        <w:t>十九</w:t>
      </w:r>
      <w:r>
        <w:rPr>
          <w:rFonts w:hint="default" w:ascii="黑体" w:hAnsi="黑体" w:eastAsia="黑体" w:cs="黑体"/>
          <w:b w:val="0"/>
          <w:bCs w:val="0"/>
          <w:color w:val="auto"/>
          <w:kern w:val="0"/>
          <w:sz w:val="32"/>
          <w:szCs w:val="32"/>
          <w:highlight w:val="none"/>
          <w:lang w:val="en-US" w:eastAsia="zh-CN" w:bidi="ar"/>
        </w:rPr>
        <w:t>条</w:t>
      </w:r>
      <w:r>
        <w:rPr>
          <w:rFonts w:hint="default" w:ascii="Times New Roman" w:hAnsi="Times New Roman" w:eastAsia="仿宋_GB2312" w:cs="Times New Roman"/>
          <w:b w:val="0"/>
          <w:bCs w:val="0"/>
          <w:color w:val="auto"/>
          <w:kern w:val="0"/>
          <w:sz w:val="32"/>
          <w:szCs w:val="32"/>
          <w:highlight w:val="none"/>
          <w:lang w:val="en-US" w:eastAsia="zh-CN" w:bidi="ar"/>
        </w:rPr>
        <w:t xml:space="preserve"> </w:t>
      </w:r>
      <w:r>
        <w:rPr>
          <w:rFonts w:hint="eastAsia" w:ascii="Times New Roman" w:hAnsi="Times New Roman" w:eastAsia="仿宋_GB2312" w:cs="Times New Roman"/>
          <w:b w:val="0"/>
          <w:bCs w:val="0"/>
          <w:color w:val="auto"/>
          <w:kern w:val="0"/>
          <w:sz w:val="32"/>
          <w:szCs w:val="32"/>
          <w:highlight w:val="none"/>
          <w:lang w:val="en-US" w:eastAsia="zh-CN" w:bidi="ar"/>
        </w:rPr>
        <w:t xml:space="preserve"> </w:t>
      </w:r>
      <w:r>
        <w:rPr>
          <w:rFonts w:hint="eastAsia" w:ascii="仿宋_GB2312" w:hAnsi="仿宋_GB2312" w:eastAsia="仿宋_GB2312" w:cs="仿宋_GB2312"/>
          <w:b w:val="0"/>
          <w:bCs w:val="0"/>
          <w:kern w:val="2"/>
          <w:sz w:val="32"/>
          <w:szCs w:val="32"/>
          <w:lang w:val="en-US" w:eastAsia="zh-CN" w:bidi="ar-SA"/>
        </w:rPr>
        <w:t>长期护理服务机构实行定点管理。医疗保障行政部门按照“保障基本、布局合理、择优纳入、动态调整”的原则，做好长期护理保险定点护理服务机构资源合理配置，逐步健全“能进能出”的动态管理机制。鼓励具备条件的基层医疗卫生机构在保障基本医疗基础上，利用富余床位、闲置用房改造设置护理床位，就近便捷服务失能参保人员。</w:t>
      </w:r>
    </w:p>
    <w:p w14:paraId="2E9628D1">
      <w:pPr>
        <w:pStyle w:val="6"/>
        <w:keepNext w:val="0"/>
        <w:keepLines w:val="0"/>
        <w:pageBreakBefore w:val="0"/>
        <w:widowControl w:val="0"/>
        <w:kinsoku/>
        <w:wordWrap/>
        <w:overflowPunct/>
        <w:topLinePunct/>
        <w:autoSpaceDE w:val="0"/>
        <w:autoSpaceDN/>
        <w:bidi w:val="0"/>
        <w:adjustRightInd/>
        <w:snapToGrid/>
        <w:spacing w:before="0"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default" w:ascii="黑体" w:hAnsi="黑体" w:eastAsia="黑体" w:cs="黑体"/>
          <w:b w:val="0"/>
          <w:bCs w:val="0"/>
          <w:color w:val="auto"/>
          <w:kern w:val="0"/>
          <w:sz w:val="32"/>
          <w:szCs w:val="32"/>
          <w:highlight w:val="none"/>
          <w:lang w:val="en-US" w:eastAsia="zh-CN" w:bidi="ar"/>
        </w:rPr>
        <w:t>第</w:t>
      </w:r>
      <w:r>
        <w:rPr>
          <w:rFonts w:hint="eastAsia" w:ascii="黑体" w:hAnsi="黑体" w:eastAsia="黑体" w:cs="黑体"/>
          <w:b w:val="0"/>
          <w:bCs w:val="0"/>
          <w:color w:val="auto"/>
          <w:kern w:val="0"/>
          <w:sz w:val="32"/>
          <w:szCs w:val="32"/>
          <w:highlight w:val="none"/>
          <w:lang w:val="en-US" w:eastAsia="zh-CN" w:bidi="ar"/>
        </w:rPr>
        <w:t>二十</w:t>
      </w:r>
      <w:r>
        <w:rPr>
          <w:rFonts w:hint="default" w:ascii="黑体" w:hAnsi="黑体" w:eastAsia="黑体" w:cs="黑体"/>
          <w:b w:val="0"/>
          <w:bCs w:val="0"/>
          <w:color w:val="auto"/>
          <w:kern w:val="0"/>
          <w:sz w:val="32"/>
          <w:szCs w:val="32"/>
          <w:highlight w:val="none"/>
          <w:lang w:val="en-US" w:eastAsia="zh-CN" w:bidi="ar"/>
        </w:rPr>
        <w:t>条</w:t>
      </w:r>
      <w:r>
        <w:rPr>
          <w:rFonts w:hint="default" w:ascii="Times New Roman" w:hAnsi="Times New Roman" w:eastAsia="仿宋_GB2312" w:cs="Times New Roman"/>
          <w:b w:val="0"/>
          <w:bCs w:val="0"/>
          <w:color w:val="auto"/>
          <w:kern w:val="0"/>
          <w:sz w:val="32"/>
          <w:szCs w:val="32"/>
          <w:highlight w:val="none"/>
          <w:lang w:val="en-US" w:eastAsia="zh-CN" w:bidi="ar"/>
        </w:rPr>
        <w:t xml:space="preserve"> </w:t>
      </w:r>
      <w:r>
        <w:rPr>
          <w:rFonts w:hint="eastAsia" w:ascii="Times New Roman" w:hAnsi="Times New Roman" w:eastAsia="仿宋_GB2312" w:cs="Times New Roman"/>
          <w:b w:val="0"/>
          <w:bCs w:val="0"/>
          <w:color w:val="auto"/>
          <w:kern w:val="0"/>
          <w:sz w:val="32"/>
          <w:szCs w:val="32"/>
          <w:highlight w:val="none"/>
          <w:lang w:val="en-US" w:eastAsia="zh-CN" w:bidi="ar"/>
        </w:rPr>
        <w:t xml:space="preserve"> </w:t>
      </w:r>
      <w:r>
        <w:rPr>
          <w:rFonts w:hint="eastAsia" w:ascii="仿宋_GB2312" w:hAnsi="仿宋_GB2312" w:eastAsia="仿宋_GB2312" w:cs="仿宋_GB2312"/>
          <w:b w:val="0"/>
          <w:bCs w:val="0"/>
          <w:kern w:val="2"/>
          <w:sz w:val="32"/>
          <w:szCs w:val="32"/>
          <w:lang w:val="en-US" w:eastAsia="zh-CN" w:bidi="ar-SA"/>
        </w:rPr>
        <w:t>医疗保障部门加强长期护理保险定点护理服务机构内部运行、服务提供、基金使用、信息化支撑等方面的规范化管理，建立健全长期护理保险服务质量评价机制和费用控制激励约束机制。</w:t>
      </w:r>
    </w:p>
    <w:p w14:paraId="153B873B">
      <w:pPr>
        <w:pStyle w:val="6"/>
        <w:keepNext w:val="0"/>
        <w:keepLines w:val="0"/>
        <w:pageBreakBefore w:val="0"/>
        <w:widowControl w:val="0"/>
        <w:kinsoku/>
        <w:wordWrap/>
        <w:overflowPunct/>
        <w:topLinePunct/>
        <w:autoSpaceDE w:val="0"/>
        <w:autoSpaceDN/>
        <w:bidi w:val="0"/>
        <w:adjustRightInd/>
        <w:snapToGrid/>
        <w:spacing w:before="0"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长期护理保险定点护理服务机构定点机构应当遵守法律、法规、规章和长期护理服务有关政策，按照有关规定和护理服务计划，为参保人员提供适宜、专业、规范的护理服务。</w:t>
      </w:r>
    </w:p>
    <w:p w14:paraId="4D5FD049">
      <w:pPr>
        <w:pStyle w:val="6"/>
        <w:keepNext w:val="0"/>
        <w:keepLines w:val="0"/>
        <w:pageBreakBefore w:val="0"/>
        <w:widowControl w:val="0"/>
        <w:kinsoku/>
        <w:wordWrap/>
        <w:overflowPunct/>
        <w:topLinePunct/>
        <w:autoSpaceDE w:val="0"/>
        <w:autoSpaceDN/>
        <w:bidi w:val="0"/>
        <w:adjustRightInd/>
        <w:snapToGrid/>
        <w:spacing w:before="0"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default" w:ascii="黑体" w:hAnsi="黑体" w:eastAsia="黑体" w:cs="黑体"/>
          <w:b w:val="0"/>
          <w:bCs w:val="0"/>
          <w:color w:val="auto"/>
          <w:kern w:val="0"/>
          <w:sz w:val="32"/>
          <w:szCs w:val="32"/>
          <w:highlight w:val="none"/>
          <w:lang w:val="en-US" w:eastAsia="zh-CN" w:bidi="ar"/>
        </w:rPr>
        <w:t>第</w:t>
      </w:r>
      <w:r>
        <w:rPr>
          <w:rFonts w:hint="eastAsia" w:ascii="黑体" w:hAnsi="黑体" w:eastAsia="黑体" w:cs="黑体"/>
          <w:b w:val="0"/>
          <w:bCs w:val="0"/>
          <w:color w:val="auto"/>
          <w:kern w:val="0"/>
          <w:sz w:val="32"/>
          <w:szCs w:val="32"/>
          <w:highlight w:val="none"/>
          <w:lang w:val="en-US" w:eastAsia="zh-CN" w:bidi="ar"/>
        </w:rPr>
        <w:t>二十一</w:t>
      </w:r>
      <w:r>
        <w:rPr>
          <w:rFonts w:hint="default" w:ascii="黑体" w:hAnsi="黑体" w:eastAsia="黑体" w:cs="黑体"/>
          <w:b w:val="0"/>
          <w:bCs w:val="0"/>
          <w:color w:val="auto"/>
          <w:kern w:val="0"/>
          <w:sz w:val="32"/>
          <w:szCs w:val="32"/>
          <w:highlight w:val="none"/>
          <w:lang w:val="en-US" w:eastAsia="zh-CN" w:bidi="ar"/>
        </w:rPr>
        <w:t>条</w:t>
      </w:r>
      <w:r>
        <w:rPr>
          <w:rFonts w:hint="eastAsia" w:ascii="黑体" w:hAnsi="黑体" w:eastAsia="黑体" w:cs="黑体"/>
          <w:b w:val="0"/>
          <w:bCs w:val="0"/>
          <w:color w:val="auto"/>
          <w:kern w:val="0"/>
          <w:sz w:val="32"/>
          <w:szCs w:val="32"/>
          <w:highlight w:val="none"/>
          <w:lang w:val="en-US" w:eastAsia="zh-CN" w:bidi="ar"/>
        </w:rPr>
        <w:t xml:space="preserve">  </w:t>
      </w:r>
      <w:r>
        <w:rPr>
          <w:rFonts w:hint="eastAsia" w:ascii="仿宋_GB2312" w:hAnsi="仿宋_GB2312" w:eastAsia="仿宋_GB2312" w:cs="仿宋_GB2312"/>
          <w:b w:val="0"/>
          <w:bCs w:val="0"/>
          <w:kern w:val="2"/>
          <w:sz w:val="32"/>
          <w:szCs w:val="32"/>
          <w:lang w:val="en-US" w:eastAsia="zh-CN" w:bidi="ar-SA"/>
        </w:rPr>
        <w:t>医疗保障部门建立健全符合长期护理保险服务特点的支付机制和协商谈判机制，针对不同服务模式完善支付方式，加强基金结算管理。参保人员在定点护理服务机构发生的规定范围内费用，由医疗保障经办机构与服务机构按规定结算。</w:t>
      </w:r>
    </w:p>
    <w:p w14:paraId="4097F3E3">
      <w:pPr>
        <w:pStyle w:val="2"/>
        <w:keepNext w:val="0"/>
        <w:keepLines w:val="0"/>
        <w:pageBreakBefore w:val="0"/>
        <w:kinsoku/>
        <w:wordWrap/>
        <w:overflowPunct/>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default" w:ascii="黑体" w:hAnsi="黑体" w:eastAsia="黑体" w:cs="黑体"/>
          <w:b w:val="0"/>
          <w:bCs w:val="0"/>
          <w:color w:val="auto"/>
          <w:kern w:val="0"/>
          <w:sz w:val="32"/>
          <w:szCs w:val="32"/>
          <w:highlight w:val="none"/>
          <w:lang w:val="en-US" w:eastAsia="zh-CN" w:bidi="ar"/>
        </w:rPr>
        <w:t>第</w:t>
      </w:r>
      <w:r>
        <w:rPr>
          <w:rFonts w:hint="eastAsia" w:ascii="黑体" w:hAnsi="黑体" w:eastAsia="黑体" w:cs="黑体"/>
          <w:b w:val="0"/>
          <w:bCs w:val="0"/>
          <w:color w:val="auto"/>
          <w:kern w:val="0"/>
          <w:sz w:val="32"/>
          <w:szCs w:val="32"/>
          <w:highlight w:val="none"/>
          <w:lang w:val="en-US" w:eastAsia="zh-CN" w:bidi="ar"/>
        </w:rPr>
        <w:t>二十二</w:t>
      </w:r>
      <w:r>
        <w:rPr>
          <w:rFonts w:hint="default" w:ascii="黑体" w:hAnsi="黑体" w:eastAsia="黑体" w:cs="黑体"/>
          <w:b w:val="0"/>
          <w:bCs w:val="0"/>
          <w:color w:val="auto"/>
          <w:kern w:val="0"/>
          <w:sz w:val="32"/>
          <w:szCs w:val="32"/>
          <w:highlight w:val="none"/>
          <w:lang w:val="en-US" w:eastAsia="zh-CN" w:bidi="ar"/>
        </w:rPr>
        <w:t>条</w:t>
      </w:r>
      <w:r>
        <w:rPr>
          <w:rFonts w:hint="default" w:ascii="Times New Roman" w:hAnsi="Times New Roman" w:eastAsia="仿宋_GB2312" w:cs="Times New Roman"/>
          <w:b w:val="0"/>
          <w:bCs w:val="0"/>
          <w:color w:val="auto"/>
          <w:kern w:val="0"/>
          <w:sz w:val="32"/>
          <w:szCs w:val="32"/>
          <w:highlight w:val="none"/>
          <w:lang w:val="en-US" w:eastAsia="zh-CN" w:bidi="ar"/>
        </w:rPr>
        <w:t xml:space="preserve"> </w:t>
      </w:r>
      <w:r>
        <w:rPr>
          <w:rFonts w:hint="eastAsia" w:ascii="Times New Roman" w:hAnsi="Times New Roman" w:eastAsia="仿宋_GB2312" w:cs="Times New Roman"/>
          <w:b w:val="0"/>
          <w:bCs w:val="0"/>
          <w:color w:val="auto"/>
          <w:kern w:val="0"/>
          <w:sz w:val="32"/>
          <w:szCs w:val="32"/>
          <w:highlight w:val="none"/>
          <w:lang w:val="en-US" w:eastAsia="zh-CN" w:bidi="ar"/>
        </w:rPr>
        <w:t xml:space="preserve"> </w:t>
      </w:r>
      <w:r>
        <w:rPr>
          <w:rFonts w:hint="default" w:ascii="仿宋_GB2312" w:hAnsi="仿宋_GB2312" w:eastAsia="仿宋_GB2312" w:cs="仿宋_GB2312"/>
          <w:b w:val="0"/>
          <w:bCs w:val="0"/>
          <w:kern w:val="2"/>
          <w:sz w:val="32"/>
          <w:szCs w:val="32"/>
          <w:lang w:val="en-US" w:eastAsia="zh-CN" w:bidi="ar-SA"/>
        </w:rPr>
        <w:t>人社、卫健、民政、</w:t>
      </w:r>
      <w:r>
        <w:rPr>
          <w:rFonts w:hint="eastAsia" w:ascii="仿宋_GB2312" w:hAnsi="仿宋_GB2312" w:eastAsia="仿宋_GB2312" w:cs="仿宋_GB2312"/>
          <w:b w:val="0"/>
          <w:bCs w:val="0"/>
          <w:kern w:val="2"/>
          <w:sz w:val="32"/>
          <w:szCs w:val="32"/>
          <w:lang w:val="en-US" w:eastAsia="zh-CN" w:bidi="ar-SA"/>
        </w:rPr>
        <w:t>医疗保障</w:t>
      </w:r>
      <w:r>
        <w:rPr>
          <w:rFonts w:hint="default" w:ascii="仿宋_GB2312" w:hAnsi="仿宋_GB2312" w:eastAsia="仿宋_GB2312" w:cs="仿宋_GB2312"/>
          <w:b w:val="0"/>
          <w:bCs w:val="0"/>
          <w:kern w:val="2"/>
          <w:sz w:val="32"/>
          <w:szCs w:val="32"/>
          <w:lang w:val="en-US" w:eastAsia="zh-CN" w:bidi="ar-SA"/>
        </w:rPr>
        <w:t>等部门应协同加强长期护理服务人才队伍建设，建立培训体系，提升服务人员的专业能力。</w:t>
      </w:r>
    </w:p>
    <w:p w14:paraId="62E70107">
      <w:pPr>
        <w:keepNext w:val="0"/>
        <w:keepLines w:val="0"/>
        <w:pageBreakBefore w:val="0"/>
        <w:widowControl/>
        <w:numPr>
          <w:ilvl w:val="0"/>
          <w:numId w:val="0"/>
        </w:numPr>
        <w:tabs>
          <w:tab w:val="left" w:pos="4564"/>
        </w:tabs>
        <w:kinsoku/>
        <w:wordWrap/>
        <w:overflowPunct/>
        <w:autoSpaceDE w:val="0"/>
        <w:autoSpaceDN w:val="0"/>
        <w:bidi w:val="0"/>
        <w:adjustRightInd/>
        <w:snapToGrid/>
        <w:spacing w:before="0" w:after="0" w:line="560" w:lineRule="exact"/>
        <w:ind w:left="0" w:leftChars="0" w:right="0" w:rightChars="0"/>
        <w:jc w:val="left"/>
        <w:textAlignment w:val="auto"/>
        <w:rPr>
          <w:rFonts w:ascii="STR3kroh+SimHei" w:hAnsi="STR3kroh+SimHei" w:eastAsia="STR3kroh+SimHei"/>
          <w:color w:val="000000"/>
          <w:sz w:val="32"/>
        </w:rPr>
      </w:pPr>
    </w:p>
    <w:p w14:paraId="3BF4A9AF">
      <w:pPr>
        <w:keepNext w:val="0"/>
        <w:keepLines w:val="0"/>
        <w:pageBreakBefore w:val="0"/>
        <w:widowControl/>
        <w:numPr>
          <w:ilvl w:val="0"/>
          <w:numId w:val="0"/>
        </w:numPr>
        <w:tabs>
          <w:tab w:val="left" w:pos="4564"/>
        </w:tabs>
        <w:kinsoku/>
        <w:wordWrap/>
        <w:overflowPunct/>
        <w:topLinePunct w:val="0"/>
        <w:autoSpaceDE w:val="0"/>
        <w:autoSpaceDN w:val="0"/>
        <w:bidi w:val="0"/>
        <w:adjustRightInd/>
        <w:snapToGrid/>
        <w:spacing w:before="0" w:after="0" w:line="560" w:lineRule="exact"/>
        <w:ind w:left="0" w:leftChars="0" w:right="0" w:rightChars="0"/>
        <w:jc w:val="center"/>
        <w:textAlignment w:val="auto"/>
        <w:rPr>
          <w:rFonts w:hint="eastAsia" w:ascii="黑体" w:hAnsi="黑体" w:eastAsia="黑体" w:cs="黑体"/>
          <w:color w:val="000000"/>
          <w:sz w:val="32"/>
        </w:rPr>
      </w:pPr>
      <w:r>
        <w:rPr>
          <w:rFonts w:hint="eastAsia" w:ascii="黑体" w:hAnsi="黑体" w:eastAsia="黑体" w:cs="黑体"/>
          <w:color w:val="000000"/>
          <w:sz w:val="32"/>
          <w:lang w:val="en-US" w:eastAsia="zh-CN"/>
        </w:rPr>
        <w:t>第六章  经办</w:t>
      </w:r>
      <w:r>
        <w:rPr>
          <w:rFonts w:hint="eastAsia" w:ascii="黑体" w:hAnsi="黑体" w:eastAsia="黑体" w:cs="黑体"/>
          <w:color w:val="000000"/>
          <w:sz w:val="32"/>
        </w:rPr>
        <w:t>管理</w:t>
      </w:r>
    </w:p>
    <w:p w14:paraId="1263202F">
      <w:pPr>
        <w:pStyle w:val="2"/>
        <w:keepNext w:val="0"/>
        <w:keepLines w:val="0"/>
        <w:pageBreakBefore w:val="0"/>
        <w:kinsoku/>
        <w:wordWrap/>
        <w:overflowPunct/>
        <w:bidi w:val="0"/>
        <w:adjustRightInd/>
        <w:snapToGrid/>
        <w:spacing w:line="560" w:lineRule="exact"/>
        <w:ind w:left="0" w:leftChars="0"/>
        <w:textAlignment w:val="auto"/>
        <w:rPr>
          <w:rFonts w:hint="eastAsia"/>
          <w:sz w:val="32"/>
          <w:szCs w:val="32"/>
        </w:rPr>
      </w:pPr>
    </w:p>
    <w:p w14:paraId="6140C9B9">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default" w:ascii="黑体" w:hAnsi="黑体" w:eastAsia="黑体" w:cs="黑体"/>
          <w:b w:val="0"/>
          <w:bCs w:val="0"/>
          <w:color w:val="auto"/>
          <w:kern w:val="0"/>
          <w:sz w:val="32"/>
          <w:szCs w:val="32"/>
          <w:highlight w:val="none"/>
          <w:lang w:val="en-US" w:eastAsia="zh-CN" w:bidi="ar"/>
        </w:rPr>
        <w:t>第</w:t>
      </w:r>
      <w:r>
        <w:rPr>
          <w:rFonts w:hint="eastAsia" w:ascii="黑体" w:hAnsi="黑体" w:eastAsia="黑体" w:cs="黑体"/>
          <w:b w:val="0"/>
          <w:bCs w:val="0"/>
          <w:color w:val="auto"/>
          <w:kern w:val="0"/>
          <w:sz w:val="32"/>
          <w:szCs w:val="32"/>
          <w:highlight w:val="none"/>
          <w:lang w:val="en-US" w:eastAsia="zh-CN" w:bidi="ar"/>
        </w:rPr>
        <w:t>二十三</w:t>
      </w:r>
      <w:r>
        <w:rPr>
          <w:rFonts w:hint="default" w:ascii="黑体" w:hAnsi="黑体" w:eastAsia="黑体" w:cs="黑体"/>
          <w:b w:val="0"/>
          <w:bCs w:val="0"/>
          <w:color w:val="auto"/>
          <w:kern w:val="0"/>
          <w:sz w:val="32"/>
          <w:szCs w:val="32"/>
          <w:highlight w:val="none"/>
          <w:lang w:val="en-US" w:eastAsia="zh-CN" w:bidi="ar"/>
        </w:rPr>
        <w:t>条</w:t>
      </w:r>
      <w:r>
        <w:rPr>
          <w:rStyle w:val="9"/>
          <w:rFonts w:hint="eastAsia" w:ascii="仿宋" w:hAnsi="仿宋" w:eastAsia="仿宋" w:cs="仿宋"/>
          <w:color w:val="auto"/>
          <w:kern w:val="0"/>
          <w:sz w:val="32"/>
          <w:szCs w:val="32"/>
          <w:lang w:bidi="ar"/>
        </w:rPr>
        <w:t xml:space="preserve">  </w:t>
      </w:r>
      <w:r>
        <w:rPr>
          <w:rFonts w:hint="eastAsia" w:ascii="仿宋_GB2312" w:hAnsi="仿宋_GB2312" w:eastAsia="仿宋_GB2312" w:cs="仿宋_GB2312"/>
          <w:b w:val="0"/>
          <w:bCs w:val="0"/>
          <w:kern w:val="2"/>
          <w:sz w:val="32"/>
          <w:szCs w:val="32"/>
          <w:lang w:val="en-US" w:eastAsia="zh-CN" w:bidi="ar-SA"/>
        </w:rPr>
        <w:t>医疗保障经办机构负责全市长期护理保险经办管理工作。具体负责：</w:t>
      </w:r>
    </w:p>
    <w:p w14:paraId="47161F97">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（一）配合医疗保障行政部门做好长期护理保险政策宣传及经办服务工作；</w:t>
      </w:r>
    </w:p>
    <w:p w14:paraId="7F55A472">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（二）做好全省统一的长期护理保险信息系统应用管理；</w:t>
      </w:r>
    </w:p>
    <w:p w14:paraId="343655BE">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（三）负责我市参保单位及参保人员的参保登记和变更；</w:t>
      </w:r>
    </w:p>
    <w:p w14:paraId="6363AAD7">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（四）负责长期护理保险保费收入、支出核算及年度清算；</w:t>
      </w:r>
    </w:p>
    <w:p w14:paraId="2C7E0C2F">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（五）负责第三方委托经办机构招标、签订协议、监督和考核；</w:t>
      </w:r>
    </w:p>
    <w:p w14:paraId="4FB0DFF0">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（六）负责做好评估机构和长护服务机构的定点申请，组织现场评估，确定定点机构并签订协议；</w:t>
      </w:r>
    </w:p>
    <w:p w14:paraId="0444C273">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　　（七）负责评估人员和长期护理人员的审核备案及入库管理；</w:t>
      </w:r>
    </w:p>
    <w:p w14:paraId="751A2465">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　　（八）组织开展失能等级评估工作及日常抽查监督；</w:t>
      </w:r>
    </w:p>
    <w:p w14:paraId="0B50DF95">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（九）开展定点评估机构和定点长护服务机构的费用结算、拨付；</w:t>
      </w:r>
    </w:p>
    <w:p w14:paraId="21F7DED0">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（十）做好定点评估机构和定点长护服务机构的协议履行情况监督；</w:t>
      </w:r>
    </w:p>
    <w:p w14:paraId="1F647DD3">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（十一）其他经办管理工作。</w:t>
      </w:r>
    </w:p>
    <w:p w14:paraId="57A75139">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default" w:ascii="黑体" w:hAnsi="黑体" w:eastAsia="黑体" w:cs="黑体"/>
          <w:b w:val="0"/>
          <w:bCs w:val="0"/>
          <w:color w:val="auto"/>
          <w:kern w:val="0"/>
          <w:sz w:val="32"/>
          <w:szCs w:val="32"/>
          <w:highlight w:val="none"/>
          <w:lang w:val="en-US" w:eastAsia="zh-CN" w:bidi="ar"/>
        </w:rPr>
        <w:t>第</w:t>
      </w:r>
      <w:r>
        <w:rPr>
          <w:rFonts w:hint="eastAsia" w:ascii="黑体" w:hAnsi="黑体" w:eastAsia="黑体" w:cs="黑体"/>
          <w:b w:val="0"/>
          <w:bCs w:val="0"/>
          <w:color w:val="auto"/>
          <w:kern w:val="0"/>
          <w:sz w:val="32"/>
          <w:szCs w:val="32"/>
          <w:highlight w:val="none"/>
          <w:lang w:val="en-US" w:eastAsia="zh-CN" w:bidi="ar"/>
        </w:rPr>
        <w:t>二十四</w:t>
      </w:r>
      <w:r>
        <w:rPr>
          <w:rFonts w:hint="default" w:ascii="黑体" w:hAnsi="黑体" w:eastAsia="黑体" w:cs="黑体"/>
          <w:b w:val="0"/>
          <w:bCs w:val="0"/>
          <w:color w:val="auto"/>
          <w:kern w:val="0"/>
          <w:sz w:val="32"/>
          <w:szCs w:val="32"/>
          <w:highlight w:val="none"/>
          <w:lang w:val="en-US" w:eastAsia="zh-CN" w:bidi="ar"/>
        </w:rPr>
        <w:t>条</w:t>
      </w:r>
      <w:r>
        <w:rPr>
          <w:rFonts w:hint="eastAsia" w:ascii="仿宋" w:hAnsi="仿宋" w:eastAsia="仿宋" w:cs="仿宋"/>
          <w:color w:val="auto"/>
          <w:sz w:val="32"/>
          <w:szCs w:val="32"/>
          <w:highlight w:val="none"/>
          <w:u w:val="none"/>
        </w:rPr>
        <w:t xml:space="preserve">  </w:t>
      </w:r>
      <w:r>
        <w:rPr>
          <w:rFonts w:hint="eastAsia" w:ascii="仿宋_GB2312" w:hAnsi="仿宋_GB2312" w:eastAsia="仿宋_GB2312" w:cs="仿宋_GB2312"/>
          <w:b w:val="0"/>
          <w:bCs w:val="0"/>
          <w:kern w:val="2"/>
          <w:sz w:val="32"/>
          <w:szCs w:val="32"/>
          <w:lang w:val="en-US" w:eastAsia="zh-CN" w:bidi="ar-SA"/>
        </w:rPr>
        <w:t>医疗保障经办机构要加强经办管理服务能力建设，可按照规定通过公开招标等方式选择第三方机构参与长期护理保险经办服务，与第三方机构签订协议。第三方机构协助开展包括但不限于以下业务：</w:t>
      </w:r>
    </w:p>
    <w:p w14:paraId="012EFD1C">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（一）政策宣传与咨询、投诉举报线索受理；</w:t>
      </w:r>
    </w:p>
    <w:p w14:paraId="0E95989A">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（二）配合开展申请受理及材料审核工作；</w:t>
      </w:r>
    </w:p>
    <w:p w14:paraId="6A91289D">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（三）参与失能评估和护理需求评估工作。派长护专员监督现场评估实施，并结合护理服务建议，与定点长护服务机构和参保人员或其监护人、委托代理人沟通协调，形成护理服务计划；</w:t>
      </w:r>
    </w:p>
    <w:p w14:paraId="7FF2F750">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（四）协助开展失能等级评估机构和长护服务机构定点申请受理、材料初审、综合审核以及失能评估费用、护理服务费用初审等事务性工作；</w:t>
      </w:r>
    </w:p>
    <w:p w14:paraId="033C0053">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（五）协助做好定点评估机构和定点长护服务机构日常检查、评估结论及参保人员失能状态抽查、服务质量检查等工作；</w:t>
      </w:r>
    </w:p>
    <w:p w14:paraId="32A489AD">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（六）协助开展异议复评、重新评估等工作；</w:t>
      </w:r>
    </w:p>
    <w:p w14:paraId="0A0B4D07">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（七）协助做好信息系统应用和档案管理工作；</w:t>
      </w:r>
    </w:p>
    <w:p w14:paraId="2BC775F7">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（八）协助做好相关业务培训及合同约定的其他工作。</w:t>
      </w:r>
    </w:p>
    <w:p w14:paraId="1FC6DA25">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九）根据合同约定，按一定比例，配备一定数量的长护专员。长护专员是指熟知失能等级评估及护理服务专业知识的第三方机构工作人员，主要职责包括熟悉参保人基本情况，全程参与参保人失能评估及护理计划制定及服务计划调整等。</w:t>
      </w:r>
    </w:p>
    <w:p w14:paraId="5C1F4426">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default" w:ascii="黑体" w:hAnsi="黑体" w:eastAsia="黑体" w:cs="黑体"/>
          <w:b w:val="0"/>
          <w:bCs w:val="0"/>
          <w:color w:val="auto"/>
          <w:kern w:val="0"/>
          <w:sz w:val="32"/>
          <w:szCs w:val="32"/>
          <w:highlight w:val="none"/>
          <w:lang w:val="en-US" w:eastAsia="zh-CN" w:bidi="ar"/>
        </w:rPr>
        <w:t>第</w:t>
      </w:r>
      <w:r>
        <w:rPr>
          <w:rFonts w:hint="eastAsia" w:ascii="黑体" w:hAnsi="黑体" w:eastAsia="黑体" w:cs="黑体"/>
          <w:b w:val="0"/>
          <w:bCs w:val="0"/>
          <w:color w:val="auto"/>
          <w:kern w:val="0"/>
          <w:sz w:val="32"/>
          <w:szCs w:val="32"/>
          <w:highlight w:val="none"/>
          <w:lang w:val="en-US" w:eastAsia="zh-CN" w:bidi="ar"/>
        </w:rPr>
        <w:t>二十五</w:t>
      </w:r>
      <w:r>
        <w:rPr>
          <w:rFonts w:hint="default" w:ascii="黑体" w:hAnsi="黑体" w:eastAsia="黑体" w:cs="黑体"/>
          <w:b w:val="0"/>
          <w:bCs w:val="0"/>
          <w:color w:val="auto"/>
          <w:kern w:val="0"/>
          <w:sz w:val="32"/>
          <w:szCs w:val="32"/>
          <w:highlight w:val="none"/>
          <w:lang w:val="en-US" w:eastAsia="zh-CN" w:bidi="ar"/>
        </w:rPr>
        <w:t>条</w:t>
      </w:r>
      <w:r>
        <w:rPr>
          <w:rFonts w:hint="eastAsia" w:ascii="仿宋" w:hAnsi="仿宋" w:eastAsia="仿宋" w:cs="仿宋"/>
          <w:color w:val="auto"/>
          <w:sz w:val="32"/>
          <w:szCs w:val="32"/>
          <w:highlight w:val="none"/>
          <w:u w:val="none"/>
        </w:rPr>
        <w:t xml:space="preserve"> </w:t>
      </w:r>
      <w:r>
        <w:rPr>
          <w:rFonts w:hint="eastAsia" w:ascii="仿宋" w:hAnsi="仿宋" w:eastAsia="仿宋" w:cs="仿宋"/>
          <w:color w:val="auto"/>
          <w:sz w:val="32"/>
          <w:szCs w:val="32"/>
          <w:highlight w:val="none"/>
          <w:u w:val="none"/>
          <w:lang w:val="en-US" w:eastAsia="zh-CN"/>
        </w:rPr>
        <w:t xml:space="preserve"> </w:t>
      </w:r>
      <w:r>
        <w:rPr>
          <w:rFonts w:hint="eastAsia" w:ascii="仿宋_GB2312" w:hAnsi="仿宋_GB2312" w:eastAsia="仿宋_GB2312" w:cs="仿宋_GB2312"/>
          <w:b w:val="0"/>
          <w:bCs w:val="0"/>
          <w:kern w:val="2"/>
          <w:sz w:val="32"/>
          <w:szCs w:val="32"/>
          <w:lang w:val="en-US" w:eastAsia="zh-CN" w:bidi="ar-SA"/>
        </w:rPr>
        <w:t>第三方机构应设置与长期护理保险经办服务相适应的组织架构，根据需要合理配置人员、科学设置服务、统一规范服务场所设施和服务规程。应建立内部控制管理制度，明确工作人员岗位权限，加强人员管理考核和培训。应建立长期护理保险信息安全管理制度，明确信息安全管理责任，确保信息安全。</w:t>
      </w:r>
    </w:p>
    <w:p w14:paraId="5AC490F2">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default" w:ascii="黑体" w:hAnsi="黑体" w:eastAsia="黑体" w:cs="黑体"/>
          <w:b w:val="0"/>
          <w:bCs w:val="0"/>
          <w:color w:val="auto"/>
          <w:kern w:val="0"/>
          <w:sz w:val="32"/>
          <w:szCs w:val="32"/>
          <w:highlight w:val="none"/>
          <w:lang w:val="en-US" w:eastAsia="zh-CN" w:bidi="ar"/>
        </w:rPr>
        <w:t>第</w:t>
      </w:r>
      <w:r>
        <w:rPr>
          <w:rFonts w:hint="eastAsia" w:ascii="黑体" w:hAnsi="黑体" w:eastAsia="黑体" w:cs="黑体"/>
          <w:b w:val="0"/>
          <w:bCs w:val="0"/>
          <w:color w:val="auto"/>
          <w:kern w:val="0"/>
          <w:sz w:val="32"/>
          <w:szCs w:val="32"/>
          <w:highlight w:val="none"/>
          <w:lang w:val="en-US" w:eastAsia="zh-CN" w:bidi="ar"/>
        </w:rPr>
        <w:t>二十六</w:t>
      </w:r>
      <w:r>
        <w:rPr>
          <w:rFonts w:hint="default" w:ascii="黑体" w:hAnsi="黑体" w:eastAsia="黑体" w:cs="黑体"/>
          <w:b w:val="0"/>
          <w:bCs w:val="0"/>
          <w:color w:val="auto"/>
          <w:kern w:val="0"/>
          <w:sz w:val="32"/>
          <w:szCs w:val="32"/>
          <w:highlight w:val="none"/>
          <w:lang w:val="en-US" w:eastAsia="zh-CN" w:bidi="ar"/>
        </w:rPr>
        <w:t>条</w:t>
      </w:r>
      <w:r>
        <w:rPr>
          <w:rFonts w:hint="eastAsia" w:ascii="仿宋" w:hAnsi="仿宋" w:eastAsia="仿宋" w:cs="仿宋"/>
          <w:color w:val="auto"/>
          <w:sz w:val="32"/>
          <w:szCs w:val="32"/>
          <w:highlight w:val="none"/>
          <w:u w:val="none"/>
        </w:rPr>
        <w:t xml:space="preserve">  </w:t>
      </w:r>
      <w:r>
        <w:rPr>
          <w:rFonts w:hint="eastAsia" w:ascii="仿宋_GB2312" w:hAnsi="仿宋_GB2312" w:eastAsia="仿宋_GB2312" w:cs="仿宋_GB2312"/>
          <w:b w:val="0"/>
          <w:bCs w:val="0"/>
          <w:kern w:val="2"/>
          <w:sz w:val="32"/>
          <w:szCs w:val="32"/>
          <w:lang w:val="en-US" w:eastAsia="zh-CN" w:bidi="ar-SA"/>
        </w:rPr>
        <w:t>医疗保障经办机构应综合考虑服务人口、机构运行成本、工作绩效等因素，合理确定第三方机构的服务费，按照不超过当年筹资总额的4%从基金中支付，并按规定预留服务费的5%作为质量保障金，根据年终考核结果返还。　</w:t>
      </w:r>
    </w:p>
    <w:p w14:paraId="3D0B4D4D">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default" w:ascii="黑体" w:hAnsi="黑体" w:eastAsia="黑体" w:cs="黑体"/>
          <w:b w:val="0"/>
          <w:bCs w:val="0"/>
          <w:color w:val="auto"/>
          <w:kern w:val="0"/>
          <w:sz w:val="32"/>
          <w:szCs w:val="32"/>
          <w:highlight w:val="none"/>
          <w:lang w:val="en-US" w:eastAsia="zh-CN" w:bidi="ar"/>
        </w:rPr>
        <w:t>第</w:t>
      </w:r>
      <w:r>
        <w:rPr>
          <w:rFonts w:hint="eastAsia" w:ascii="黑体" w:hAnsi="黑体" w:eastAsia="黑体" w:cs="黑体"/>
          <w:b w:val="0"/>
          <w:bCs w:val="0"/>
          <w:color w:val="auto"/>
          <w:kern w:val="0"/>
          <w:sz w:val="32"/>
          <w:szCs w:val="32"/>
          <w:highlight w:val="none"/>
          <w:lang w:val="en-US" w:eastAsia="zh-CN" w:bidi="ar"/>
        </w:rPr>
        <w:t>二十七</w:t>
      </w:r>
      <w:r>
        <w:rPr>
          <w:rFonts w:hint="default" w:ascii="黑体" w:hAnsi="黑体" w:eastAsia="黑体" w:cs="黑体"/>
          <w:b w:val="0"/>
          <w:bCs w:val="0"/>
          <w:color w:val="auto"/>
          <w:kern w:val="0"/>
          <w:sz w:val="32"/>
          <w:szCs w:val="32"/>
          <w:highlight w:val="none"/>
          <w:lang w:val="en-US" w:eastAsia="zh-CN" w:bidi="ar"/>
        </w:rPr>
        <w:t>条</w:t>
      </w:r>
      <w:r>
        <w:rPr>
          <w:rFonts w:hint="eastAsia" w:ascii="黑体" w:hAnsi="黑体" w:eastAsia="黑体" w:cs="黑体"/>
          <w:b w:val="0"/>
          <w:bCs w:val="0"/>
          <w:color w:val="auto"/>
          <w:kern w:val="0"/>
          <w:sz w:val="32"/>
          <w:szCs w:val="32"/>
          <w:highlight w:val="none"/>
          <w:lang w:val="en-US" w:eastAsia="zh-CN" w:bidi="ar"/>
        </w:rPr>
        <w:t>　</w:t>
      </w:r>
      <w:r>
        <w:rPr>
          <w:rFonts w:hint="eastAsia" w:ascii="仿宋_GB2312" w:hAnsi="仿宋_GB2312" w:eastAsia="仿宋_GB2312" w:cs="仿宋_GB2312"/>
          <w:b w:val="0"/>
          <w:bCs w:val="0"/>
          <w:kern w:val="2"/>
          <w:sz w:val="32"/>
          <w:szCs w:val="32"/>
          <w:lang w:val="en-US" w:eastAsia="zh-CN" w:bidi="ar-SA"/>
        </w:rPr>
        <w:t>医疗保障经办机构按月与定点评估机构、定点长护服务机构进行结算确认，预留5%的质量保证金后，按要求及时、足额与定点评估机构、定点长护服务机构进行结算。　　</w:t>
      </w:r>
    </w:p>
    <w:p w14:paraId="792EDBD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rPr>
      </w:pPr>
      <w:r>
        <w:rPr>
          <w:rFonts w:hint="default" w:ascii="黑体" w:hAnsi="黑体" w:eastAsia="黑体" w:cs="黑体"/>
          <w:b w:val="0"/>
          <w:bCs w:val="0"/>
          <w:color w:val="auto"/>
          <w:kern w:val="0"/>
          <w:sz w:val="32"/>
          <w:szCs w:val="32"/>
          <w:highlight w:val="none"/>
          <w:lang w:val="en-US" w:eastAsia="zh-CN" w:bidi="ar"/>
        </w:rPr>
        <w:t>第</w:t>
      </w:r>
      <w:r>
        <w:rPr>
          <w:rFonts w:hint="eastAsia" w:ascii="黑体" w:hAnsi="黑体" w:eastAsia="黑体" w:cs="黑体"/>
          <w:b w:val="0"/>
          <w:bCs w:val="0"/>
          <w:color w:val="auto"/>
          <w:kern w:val="0"/>
          <w:sz w:val="32"/>
          <w:szCs w:val="32"/>
          <w:highlight w:val="none"/>
          <w:lang w:val="en-US" w:eastAsia="zh-CN" w:bidi="ar"/>
        </w:rPr>
        <w:t>二十八</w:t>
      </w:r>
      <w:r>
        <w:rPr>
          <w:rFonts w:hint="default" w:ascii="黑体" w:hAnsi="黑体" w:eastAsia="黑体" w:cs="黑体"/>
          <w:b w:val="0"/>
          <w:bCs w:val="0"/>
          <w:color w:val="auto"/>
          <w:kern w:val="0"/>
          <w:sz w:val="32"/>
          <w:szCs w:val="32"/>
          <w:highlight w:val="none"/>
          <w:lang w:val="en-US" w:eastAsia="zh-CN" w:bidi="ar"/>
        </w:rPr>
        <w:t>条</w:t>
      </w:r>
      <w:r>
        <w:rPr>
          <w:rFonts w:hint="eastAsia" w:ascii="黑体" w:hAnsi="黑体" w:eastAsia="黑体" w:cs="黑体"/>
          <w:b w:val="0"/>
          <w:bCs w:val="0"/>
          <w:color w:val="auto"/>
          <w:kern w:val="0"/>
          <w:sz w:val="32"/>
          <w:szCs w:val="32"/>
          <w:highlight w:val="none"/>
          <w:lang w:val="en-US" w:eastAsia="zh-CN" w:bidi="ar"/>
        </w:rPr>
        <w:t>　</w:t>
      </w:r>
      <w:r>
        <w:rPr>
          <w:rFonts w:hint="eastAsia" w:ascii="仿宋_GB2312" w:hAnsi="仿宋_GB2312" w:eastAsia="仿宋_GB2312" w:cs="仿宋_GB2312"/>
          <w:b w:val="0"/>
          <w:bCs w:val="0"/>
          <w:kern w:val="2"/>
          <w:sz w:val="32"/>
          <w:szCs w:val="32"/>
        </w:rPr>
        <w:t>配合医疗保障行政部门做好长期照护师培训培养和评估人员规范化培训工作。</w:t>
      </w:r>
    </w:p>
    <w:p w14:paraId="3E2AF3A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b w:val="0"/>
          <w:bCs w:val="0"/>
          <w:kern w:val="2"/>
          <w:sz w:val="32"/>
          <w:szCs w:val="32"/>
        </w:rPr>
      </w:pPr>
      <w:r>
        <w:rPr>
          <w:rFonts w:hint="default" w:ascii="黑体" w:hAnsi="黑体" w:eastAsia="黑体" w:cs="黑体"/>
          <w:b w:val="0"/>
          <w:bCs w:val="0"/>
          <w:color w:val="auto"/>
          <w:kern w:val="0"/>
          <w:sz w:val="32"/>
          <w:szCs w:val="32"/>
          <w:highlight w:val="none"/>
          <w:lang w:val="en-US" w:eastAsia="zh-CN" w:bidi="ar"/>
        </w:rPr>
        <w:t>第</w:t>
      </w:r>
      <w:r>
        <w:rPr>
          <w:rFonts w:hint="eastAsia" w:ascii="黑体" w:hAnsi="黑体" w:eastAsia="黑体" w:cs="黑体"/>
          <w:b w:val="0"/>
          <w:bCs w:val="0"/>
          <w:color w:val="auto"/>
          <w:kern w:val="0"/>
          <w:sz w:val="32"/>
          <w:szCs w:val="32"/>
          <w:highlight w:val="none"/>
          <w:lang w:val="en-US" w:eastAsia="zh-CN" w:bidi="ar"/>
        </w:rPr>
        <w:t>二十九</w:t>
      </w:r>
      <w:r>
        <w:rPr>
          <w:rFonts w:hint="default" w:ascii="黑体" w:hAnsi="黑体" w:eastAsia="黑体" w:cs="黑体"/>
          <w:b w:val="0"/>
          <w:bCs w:val="0"/>
          <w:color w:val="auto"/>
          <w:kern w:val="0"/>
          <w:sz w:val="32"/>
          <w:szCs w:val="32"/>
          <w:highlight w:val="none"/>
          <w:lang w:val="en-US" w:eastAsia="zh-CN" w:bidi="ar"/>
        </w:rPr>
        <w:t>条</w:t>
      </w:r>
      <w:r>
        <w:rPr>
          <w:rFonts w:hint="eastAsia" w:ascii="黑体" w:hAnsi="黑体" w:eastAsia="黑体" w:cs="黑体"/>
          <w:b w:val="0"/>
          <w:bCs w:val="0"/>
          <w:color w:val="auto"/>
          <w:kern w:val="0"/>
          <w:sz w:val="32"/>
          <w:szCs w:val="32"/>
          <w:highlight w:val="none"/>
          <w:lang w:val="en-US" w:eastAsia="zh-CN" w:bidi="ar"/>
        </w:rPr>
        <w:t>　</w:t>
      </w:r>
      <w:r>
        <w:rPr>
          <w:rFonts w:hint="eastAsia" w:ascii="仿宋_GB2312" w:hAnsi="仿宋_GB2312" w:eastAsia="仿宋_GB2312" w:cs="仿宋_GB2312"/>
          <w:b w:val="0"/>
          <w:bCs w:val="0"/>
          <w:kern w:val="2"/>
          <w:sz w:val="32"/>
          <w:szCs w:val="32"/>
        </w:rPr>
        <w:t>做好长期护理保险关系转移接续、异地评估、异地待遇享受等管理工作，保障参保人员合法权益。</w:t>
      </w:r>
    </w:p>
    <w:p w14:paraId="456CA8DC">
      <w:pPr>
        <w:keepNext w:val="0"/>
        <w:keepLines w:val="0"/>
        <w:pageBreakBefore w:val="0"/>
        <w:widowControl/>
        <w:numPr>
          <w:ilvl w:val="0"/>
          <w:numId w:val="0"/>
        </w:numPr>
        <w:tabs>
          <w:tab w:val="left" w:pos="4564"/>
        </w:tabs>
        <w:kinsoku/>
        <w:wordWrap/>
        <w:overflowPunct/>
        <w:topLinePunct w:val="0"/>
        <w:autoSpaceDE w:val="0"/>
        <w:autoSpaceDN w:val="0"/>
        <w:bidi w:val="0"/>
        <w:adjustRightInd/>
        <w:snapToGrid/>
        <w:spacing w:before="0" w:after="0" w:line="560" w:lineRule="exact"/>
        <w:ind w:left="0" w:leftChars="0" w:right="0" w:rightChars="0"/>
        <w:jc w:val="both"/>
        <w:textAlignment w:val="auto"/>
        <w:rPr>
          <w:rFonts w:ascii="STR3kroh+SimHei" w:hAnsi="STR3kroh+SimHei" w:eastAsia="STR3kroh+SimHei"/>
          <w:color w:val="000000"/>
          <w:sz w:val="32"/>
        </w:rPr>
      </w:pPr>
    </w:p>
    <w:p w14:paraId="5F345C32">
      <w:pPr>
        <w:keepNext w:val="0"/>
        <w:keepLines w:val="0"/>
        <w:pageBreakBefore w:val="0"/>
        <w:widowControl w:val="0"/>
        <w:suppressLineNumbers w:val="0"/>
        <w:kinsoku/>
        <w:wordWrap/>
        <w:overflowPunct/>
        <w:autoSpaceDE w:val="0"/>
        <w:autoSpaceDN/>
        <w:bidi w:val="0"/>
        <w:adjustRightInd/>
        <w:snapToGrid/>
        <w:spacing w:line="560" w:lineRule="exact"/>
        <w:ind w:left="0" w:leftChars="0"/>
        <w:jc w:val="center"/>
        <w:textAlignment w:val="auto"/>
        <w:rPr>
          <w:rFonts w:hint="default" w:ascii="黑体" w:hAnsi="宋体" w:eastAsia="黑体" w:cs="黑体"/>
          <w:kern w:val="2"/>
          <w:sz w:val="32"/>
          <w:szCs w:val="32"/>
          <w:lang w:val="en-US" w:eastAsia="zh-CN"/>
        </w:rPr>
      </w:pPr>
      <w:r>
        <w:rPr>
          <w:rFonts w:hint="eastAsia" w:ascii="黑体" w:hAnsi="宋体" w:eastAsia="黑体" w:cs="黑体"/>
          <w:kern w:val="2"/>
          <w:sz w:val="32"/>
          <w:szCs w:val="32"/>
        </w:rPr>
        <w:t>第</w:t>
      </w:r>
      <w:r>
        <w:rPr>
          <w:rFonts w:hint="eastAsia" w:ascii="黑体" w:hAnsi="宋体" w:eastAsia="黑体" w:cs="黑体"/>
          <w:kern w:val="2"/>
          <w:sz w:val="32"/>
          <w:szCs w:val="32"/>
          <w:lang w:val="en-US" w:eastAsia="zh-CN"/>
        </w:rPr>
        <w:t>七</w:t>
      </w:r>
      <w:r>
        <w:rPr>
          <w:rFonts w:hint="eastAsia" w:ascii="黑体" w:hAnsi="宋体" w:eastAsia="黑体" w:cs="黑体"/>
          <w:kern w:val="2"/>
          <w:sz w:val="32"/>
          <w:szCs w:val="32"/>
        </w:rPr>
        <w:t>章</w:t>
      </w:r>
      <w:r>
        <w:rPr>
          <w:rFonts w:hint="eastAsia" w:ascii="黑体" w:hAnsi="宋体" w:eastAsia="黑体" w:cs="黑体"/>
          <w:kern w:val="2"/>
          <w:sz w:val="32"/>
          <w:szCs w:val="32"/>
          <w:lang w:val="en-US" w:eastAsia="zh-CN"/>
        </w:rPr>
        <w:t xml:space="preserve">  基金管理</w:t>
      </w:r>
    </w:p>
    <w:p w14:paraId="05739C41">
      <w:pPr>
        <w:pStyle w:val="6"/>
        <w:keepNext w:val="0"/>
        <w:keepLines w:val="0"/>
        <w:pageBreakBefore w:val="0"/>
        <w:widowControl w:val="0"/>
        <w:kinsoku/>
        <w:wordWrap/>
        <w:overflowPunct/>
        <w:topLinePunct/>
        <w:autoSpaceDE w:val="0"/>
        <w:autoSpaceDN/>
        <w:bidi w:val="0"/>
        <w:adjustRightInd/>
        <w:snapToGrid/>
        <w:spacing w:before="0" w:line="560" w:lineRule="exact"/>
        <w:ind w:left="0" w:leftChars="0" w:firstLine="640" w:firstLineChars="200"/>
        <w:jc w:val="both"/>
        <w:textAlignment w:val="auto"/>
        <w:rPr>
          <w:rFonts w:hint="eastAsia" w:ascii="Calibri" w:hAnsi="Calibri" w:eastAsia="宋体" w:cs="Times New Roman"/>
          <w:kern w:val="2"/>
          <w:sz w:val="32"/>
          <w:szCs w:val="32"/>
        </w:rPr>
      </w:pPr>
    </w:p>
    <w:p w14:paraId="55DAAB17">
      <w:pPr>
        <w:pStyle w:val="6"/>
        <w:keepNext w:val="0"/>
        <w:keepLines w:val="0"/>
        <w:pageBreakBefore w:val="0"/>
        <w:widowControl w:val="0"/>
        <w:kinsoku/>
        <w:wordWrap/>
        <w:overflowPunct/>
        <w:topLinePunct/>
        <w:autoSpaceDE w:val="0"/>
        <w:autoSpaceDN/>
        <w:bidi w:val="0"/>
        <w:adjustRightInd/>
        <w:snapToGrid/>
        <w:spacing w:before="0"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default" w:ascii="黑体" w:hAnsi="黑体" w:eastAsia="黑体" w:cs="黑体"/>
          <w:b w:val="0"/>
          <w:bCs w:val="0"/>
          <w:color w:val="auto"/>
          <w:kern w:val="0"/>
          <w:sz w:val="32"/>
          <w:szCs w:val="32"/>
          <w:highlight w:val="none"/>
          <w:lang w:val="en-US" w:eastAsia="zh-CN" w:bidi="ar"/>
        </w:rPr>
        <w:t>第</w:t>
      </w:r>
      <w:r>
        <w:rPr>
          <w:rFonts w:hint="eastAsia" w:ascii="黑体" w:hAnsi="黑体" w:eastAsia="黑体" w:cs="黑体"/>
          <w:b w:val="0"/>
          <w:bCs w:val="0"/>
          <w:color w:val="auto"/>
          <w:kern w:val="0"/>
          <w:sz w:val="32"/>
          <w:szCs w:val="32"/>
          <w:highlight w:val="none"/>
          <w:lang w:val="en-US" w:eastAsia="zh-CN" w:bidi="ar"/>
        </w:rPr>
        <w:t>三十</w:t>
      </w:r>
      <w:r>
        <w:rPr>
          <w:rFonts w:hint="default" w:ascii="黑体" w:hAnsi="黑体" w:eastAsia="黑体" w:cs="黑体"/>
          <w:b w:val="0"/>
          <w:bCs w:val="0"/>
          <w:color w:val="auto"/>
          <w:kern w:val="0"/>
          <w:sz w:val="32"/>
          <w:szCs w:val="32"/>
          <w:highlight w:val="none"/>
          <w:lang w:val="en-US" w:eastAsia="zh-CN" w:bidi="ar"/>
        </w:rPr>
        <w:t>条</w:t>
      </w:r>
      <w:r>
        <w:rPr>
          <w:rFonts w:hint="eastAsia" w:ascii="黑体" w:hAnsi="黑体" w:eastAsia="黑体" w:cs="黑体"/>
          <w:b w:val="0"/>
          <w:bCs w:val="0"/>
          <w:color w:val="auto"/>
          <w:kern w:val="0"/>
          <w:sz w:val="32"/>
          <w:szCs w:val="32"/>
          <w:highlight w:val="none"/>
          <w:lang w:val="en-US" w:eastAsia="zh-CN" w:bidi="ar"/>
        </w:rPr>
        <w:t>　</w:t>
      </w:r>
      <w:r>
        <w:rPr>
          <w:rFonts w:hint="eastAsia" w:ascii="仿宋_GB2312" w:hAnsi="仿宋_GB2312" w:eastAsia="仿宋_GB2312" w:cs="仿宋_GB2312"/>
          <w:b w:val="0"/>
          <w:bCs w:val="0"/>
          <w:kern w:val="2"/>
          <w:sz w:val="32"/>
          <w:szCs w:val="32"/>
          <w:lang w:val="en-US" w:eastAsia="zh-CN" w:bidi="ar-SA"/>
        </w:rPr>
        <w:t>长期护理保险基金纳入社会保障基金财政专户单独管理，单独开设支出户、单独建账、单独计息、专款专用。</w:t>
      </w:r>
    </w:p>
    <w:p w14:paraId="5653BCC7">
      <w:pPr>
        <w:pStyle w:val="6"/>
        <w:keepNext w:val="0"/>
        <w:keepLines w:val="0"/>
        <w:pageBreakBefore w:val="0"/>
        <w:widowControl w:val="0"/>
        <w:kinsoku/>
        <w:wordWrap/>
        <w:overflowPunct/>
        <w:topLinePunct/>
        <w:autoSpaceDE w:val="0"/>
        <w:autoSpaceDN/>
        <w:bidi w:val="0"/>
        <w:adjustRightInd/>
        <w:snapToGrid/>
        <w:spacing w:before="0"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default" w:ascii="黑体" w:hAnsi="黑体" w:eastAsia="黑体" w:cs="黑体"/>
          <w:b w:val="0"/>
          <w:bCs w:val="0"/>
          <w:color w:val="auto"/>
          <w:kern w:val="0"/>
          <w:sz w:val="32"/>
          <w:szCs w:val="32"/>
          <w:highlight w:val="none"/>
          <w:lang w:val="en-US" w:eastAsia="zh-CN" w:bidi="ar"/>
        </w:rPr>
        <w:t>第</w:t>
      </w:r>
      <w:r>
        <w:rPr>
          <w:rFonts w:hint="eastAsia" w:ascii="黑体" w:hAnsi="黑体" w:eastAsia="黑体" w:cs="黑体"/>
          <w:b w:val="0"/>
          <w:bCs w:val="0"/>
          <w:color w:val="auto"/>
          <w:kern w:val="0"/>
          <w:sz w:val="32"/>
          <w:szCs w:val="32"/>
          <w:highlight w:val="none"/>
          <w:lang w:val="en-US" w:eastAsia="zh-CN" w:bidi="ar"/>
        </w:rPr>
        <w:t>三十一</w:t>
      </w:r>
      <w:r>
        <w:rPr>
          <w:rFonts w:hint="default" w:ascii="黑体" w:hAnsi="黑体" w:eastAsia="黑体" w:cs="黑体"/>
          <w:b w:val="0"/>
          <w:bCs w:val="0"/>
          <w:color w:val="auto"/>
          <w:kern w:val="0"/>
          <w:sz w:val="32"/>
          <w:szCs w:val="32"/>
          <w:highlight w:val="none"/>
          <w:lang w:val="en-US" w:eastAsia="zh-CN" w:bidi="ar"/>
        </w:rPr>
        <w:t>条</w:t>
      </w:r>
      <w:r>
        <w:rPr>
          <w:rFonts w:hint="eastAsia" w:ascii="黑体" w:hAnsi="黑体" w:eastAsia="黑体" w:cs="黑体"/>
          <w:b w:val="0"/>
          <w:bCs w:val="0"/>
          <w:color w:val="auto"/>
          <w:kern w:val="0"/>
          <w:sz w:val="32"/>
          <w:szCs w:val="32"/>
          <w:highlight w:val="none"/>
          <w:lang w:val="en-US" w:eastAsia="zh-CN" w:bidi="ar"/>
        </w:rPr>
        <w:t>　</w:t>
      </w:r>
      <w:r>
        <w:rPr>
          <w:rFonts w:hint="eastAsia" w:ascii="仿宋_GB2312" w:hAnsi="仿宋_GB2312" w:eastAsia="仿宋_GB2312" w:cs="仿宋_GB2312"/>
          <w:b w:val="0"/>
          <w:bCs w:val="0"/>
          <w:kern w:val="2"/>
          <w:sz w:val="32"/>
          <w:szCs w:val="32"/>
          <w:lang w:val="en-US" w:eastAsia="zh-CN" w:bidi="ar-SA"/>
        </w:rPr>
        <w:t>长期护理保险</w:t>
      </w:r>
      <w:r>
        <w:rPr>
          <w:rFonts w:hint="default" w:ascii="仿宋_GB2312" w:hAnsi="仿宋_GB2312" w:eastAsia="仿宋_GB2312" w:cs="仿宋_GB2312"/>
          <w:b w:val="0"/>
          <w:bCs w:val="0"/>
          <w:kern w:val="2"/>
          <w:sz w:val="32"/>
          <w:szCs w:val="32"/>
          <w:lang w:val="en-US" w:eastAsia="zh-CN" w:bidi="ar-SA"/>
        </w:rPr>
        <w:t>基金纳入社会保险基金预算编制范围，科学编制收支预算，</w:t>
      </w:r>
      <w:r>
        <w:rPr>
          <w:rFonts w:hint="eastAsia" w:ascii="仿宋_GB2312" w:hAnsi="仿宋_GB2312" w:eastAsia="仿宋_GB2312" w:cs="仿宋_GB2312"/>
          <w:b w:val="0"/>
          <w:bCs w:val="0"/>
          <w:kern w:val="2"/>
          <w:sz w:val="32"/>
          <w:szCs w:val="32"/>
          <w:lang w:val="en-US" w:eastAsia="zh-CN" w:bidi="ar-SA"/>
        </w:rPr>
        <w:t>加强预算绩效管理。</w:t>
      </w:r>
    </w:p>
    <w:p w14:paraId="786F1B09">
      <w:pPr>
        <w:pStyle w:val="6"/>
        <w:keepNext w:val="0"/>
        <w:keepLines w:val="0"/>
        <w:pageBreakBefore w:val="0"/>
        <w:widowControl w:val="0"/>
        <w:kinsoku/>
        <w:wordWrap/>
        <w:overflowPunct/>
        <w:topLinePunct/>
        <w:autoSpaceDE w:val="0"/>
        <w:autoSpaceDN/>
        <w:bidi w:val="0"/>
        <w:adjustRightInd/>
        <w:snapToGrid/>
        <w:spacing w:before="0"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default" w:ascii="黑体" w:hAnsi="黑体" w:eastAsia="黑体" w:cs="黑体"/>
          <w:b w:val="0"/>
          <w:bCs w:val="0"/>
          <w:color w:val="auto"/>
          <w:kern w:val="0"/>
          <w:sz w:val="32"/>
          <w:szCs w:val="32"/>
          <w:highlight w:val="none"/>
          <w:lang w:val="en-US" w:eastAsia="zh-CN" w:bidi="ar"/>
        </w:rPr>
        <w:t>第</w:t>
      </w:r>
      <w:r>
        <w:rPr>
          <w:rFonts w:hint="eastAsia" w:ascii="黑体" w:hAnsi="黑体" w:eastAsia="黑体" w:cs="黑体"/>
          <w:b w:val="0"/>
          <w:bCs w:val="0"/>
          <w:color w:val="auto"/>
          <w:kern w:val="0"/>
          <w:sz w:val="32"/>
          <w:szCs w:val="32"/>
          <w:highlight w:val="none"/>
          <w:lang w:val="en-US" w:eastAsia="zh-CN" w:bidi="ar"/>
        </w:rPr>
        <w:t>三十二</w:t>
      </w:r>
      <w:r>
        <w:rPr>
          <w:rFonts w:hint="default" w:ascii="黑体" w:hAnsi="黑体" w:eastAsia="黑体" w:cs="黑体"/>
          <w:b w:val="0"/>
          <w:bCs w:val="0"/>
          <w:color w:val="auto"/>
          <w:kern w:val="0"/>
          <w:sz w:val="32"/>
          <w:szCs w:val="32"/>
          <w:highlight w:val="none"/>
          <w:lang w:val="en-US" w:eastAsia="zh-CN" w:bidi="ar"/>
        </w:rPr>
        <w:t>条</w:t>
      </w:r>
      <w:r>
        <w:rPr>
          <w:rFonts w:hint="eastAsia" w:ascii="黑体" w:hAnsi="黑体" w:eastAsia="黑体" w:cs="黑体"/>
          <w:b w:val="0"/>
          <w:bCs w:val="0"/>
          <w:color w:val="auto"/>
          <w:kern w:val="0"/>
          <w:sz w:val="32"/>
          <w:szCs w:val="32"/>
          <w:highlight w:val="none"/>
          <w:lang w:val="en-US" w:eastAsia="zh-CN" w:bidi="ar"/>
        </w:rPr>
        <w:t>　</w:t>
      </w:r>
      <w:r>
        <w:rPr>
          <w:rFonts w:hint="eastAsia" w:ascii="仿宋_GB2312" w:hAnsi="仿宋_GB2312" w:eastAsia="仿宋_GB2312" w:cs="仿宋_GB2312"/>
          <w:b w:val="0"/>
          <w:bCs w:val="0"/>
          <w:kern w:val="2"/>
          <w:sz w:val="32"/>
          <w:szCs w:val="32"/>
          <w:lang w:val="en-US" w:eastAsia="zh-CN" w:bidi="ar-SA"/>
        </w:rPr>
        <w:t xml:space="preserve">长期护理保险基金应严格执行社会保险基金财务制度和会计制度，做好基金会计核算和统计分析。坚持以收定支、收支平衡，建立基金运行监控和风险防范机制，加强中长期精算分析。 </w:t>
      </w:r>
    </w:p>
    <w:p w14:paraId="0EAA4BAA">
      <w:pPr>
        <w:keepNext w:val="0"/>
        <w:keepLines w:val="0"/>
        <w:pageBreakBefore w:val="0"/>
        <w:kinsoku/>
        <w:wordWrap/>
        <w:overflowPunct/>
        <w:topLinePunct w:val="0"/>
        <w:autoSpaceDE/>
        <w:autoSpaceDN/>
        <w:bidi w:val="0"/>
        <w:adjustRightInd/>
        <w:snapToGrid/>
        <w:spacing w:line="560" w:lineRule="exact"/>
        <w:ind w:left="0" w:leftChars="0"/>
        <w:textAlignment w:val="auto"/>
        <w:rPr>
          <w:rFonts w:hint="eastAsia" w:ascii="黑体" w:hAnsi="宋体" w:eastAsia="黑体" w:cs="黑体"/>
          <w:kern w:val="2"/>
          <w:sz w:val="32"/>
          <w:szCs w:val="32"/>
        </w:rPr>
      </w:pPr>
      <w:r>
        <w:rPr>
          <w:rFonts w:hint="eastAsia" w:ascii="sans-serif" w:hAnsi="sans-serif" w:cs="sans-serif"/>
          <w:i w:val="0"/>
          <w:iCs w:val="0"/>
          <w:caps w:val="0"/>
          <w:color w:val="000000"/>
          <w:spacing w:val="0"/>
          <w:sz w:val="27"/>
          <w:szCs w:val="27"/>
          <w:u w:val="none"/>
          <w:shd w:val="clear" w:color="auto" w:fill="FFFFFF"/>
          <w:lang w:val="en-US" w:eastAsia="zh-CN"/>
        </w:rPr>
        <w:t xml:space="preserve"> </w:t>
      </w:r>
    </w:p>
    <w:p w14:paraId="0211FB7B">
      <w:pPr>
        <w:keepNext w:val="0"/>
        <w:keepLines w:val="0"/>
        <w:pageBreakBefore w:val="0"/>
        <w:widowControl w:val="0"/>
        <w:suppressLineNumbers w:val="0"/>
        <w:kinsoku/>
        <w:wordWrap/>
        <w:overflowPunct/>
        <w:autoSpaceDE w:val="0"/>
        <w:autoSpaceDN/>
        <w:bidi w:val="0"/>
        <w:adjustRightInd/>
        <w:snapToGrid/>
        <w:spacing w:line="560" w:lineRule="exact"/>
        <w:ind w:left="0" w:leftChars="0"/>
        <w:jc w:val="center"/>
        <w:textAlignment w:val="auto"/>
        <w:rPr>
          <w:rFonts w:hint="default" w:ascii="黑体" w:hAnsi="宋体" w:eastAsia="黑体" w:cs="黑体"/>
          <w:kern w:val="2"/>
          <w:sz w:val="32"/>
          <w:szCs w:val="32"/>
          <w:lang w:val="en-US" w:eastAsia="zh-CN"/>
        </w:rPr>
      </w:pPr>
      <w:r>
        <w:rPr>
          <w:rFonts w:hint="eastAsia" w:ascii="黑体" w:hAnsi="宋体" w:eastAsia="黑体" w:cs="黑体"/>
          <w:kern w:val="2"/>
          <w:sz w:val="32"/>
          <w:szCs w:val="32"/>
        </w:rPr>
        <w:t>第</w:t>
      </w:r>
      <w:r>
        <w:rPr>
          <w:rFonts w:hint="eastAsia" w:ascii="黑体" w:hAnsi="宋体" w:eastAsia="黑体" w:cs="黑体"/>
          <w:kern w:val="2"/>
          <w:sz w:val="32"/>
          <w:szCs w:val="32"/>
          <w:lang w:val="en-US" w:eastAsia="zh-CN"/>
        </w:rPr>
        <w:t>八</w:t>
      </w:r>
      <w:r>
        <w:rPr>
          <w:rFonts w:hint="eastAsia" w:ascii="黑体" w:hAnsi="宋体" w:eastAsia="黑体" w:cs="黑体"/>
          <w:kern w:val="2"/>
          <w:sz w:val="32"/>
          <w:szCs w:val="32"/>
        </w:rPr>
        <w:t>章</w:t>
      </w:r>
      <w:r>
        <w:rPr>
          <w:rFonts w:hint="eastAsia" w:ascii="黑体" w:hAnsi="宋体" w:eastAsia="黑体" w:cs="黑体"/>
          <w:kern w:val="2"/>
          <w:sz w:val="32"/>
          <w:szCs w:val="32"/>
          <w:lang w:val="en-US" w:eastAsia="zh-CN"/>
        </w:rPr>
        <w:t xml:space="preserve">  基金监管</w:t>
      </w:r>
    </w:p>
    <w:p w14:paraId="5D81CD58">
      <w:pPr>
        <w:keepNext w:val="0"/>
        <w:keepLines w:val="0"/>
        <w:pageBreakBefore w:val="0"/>
        <w:kinsoku/>
        <w:wordWrap/>
        <w:overflowPunct/>
        <w:bidi w:val="0"/>
        <w:adjustRightInd/>
        <w:snapToGrid/>
        <w:spacing w:line="560" w:lineRule="exact"/>
        <w:ind w:left="0" w:leftChars="0" w:firstLine="640"/>
        <w:textAlignment w:val="auto"/>
        <w:rPr>
          <w:rFonts w:hint="default" w:ascii="黑体" w:hAnsi="黑体" w:eastAsia="黑体" w:cs="黑体"/>
          <w:b w:val="0"/>
          <w:bCs w:val="0"/>
          <w:color w:val="auto"/>
          <w:kern w:val="0"/>
          <w:sz w:val="32"/>
          <w:szCs w:val="32"/>
          <w:highlight w:val="none"/>
          <w:lang w:val="en-US" w:eastAsia="zh-CN" w:bidi="ar"/>
        </w:rPr>
      </w:pPr>
    </w:p>
    <w:p w14:paraId="7EF83CB8">
      <w:pPr>
        <w:keepNext w:val="0"/>
        <w:keepLines w:val="0"/>
        <w:pageBreakBefore w:val="0"/>
        <w:kinsoku/>
        <w:wordWrap/>
        <w:overflowPunct/>
        <w:bidi w:val="0"/>
        <w:adjustRightInd/>
        <w:snapToGrid/>
        <w:spacing w:line="560" w:lineRule="exact"/>
        <w:ind w:left="0" w:leftChars="0" w:firstLine="640"/>
        <w:textAlignment w:val="auto"/>
        <w:rPr>
          <w:rFonts w:hint="eastAsia" w:ascii="仿宋_GB2312" w:hAnsi="仿宋_GB2312" w:eastAsia="仿宋_GB2312" w:cs="仿宋_GB2312"/>
          <w:b w:val="0"/>
          <w:bCs w:val="0"/>
          <w:kern w:val="2"/>
          <w:sz w:val="32"/>
          <w:szCs w:val="32"/>
        </w:rPr>
      </w:pPr>
      <w:r>
        <w:rPr>
          <w:rFonts w:hint="default" w:ascii="黑体" w:hAnsi="黑体" w:eastAsia="黑体" w:cs="黑体"/>
          <w:b w:val="0"/>
          <w:bCs w:val="0"/>
          <w:color w:val="auto"/>
          <w:kern w:val="0"/>
          <w:sz w:val="32"/>
          <w:szCs w:val="32"/>
          <w:highlight w:val="none"/>
          <w:lang w:val="en-US" w:eastAsia="zh-CN" w:bidi="ar"/>
        </w:rPr>
        <w:t>第</w:t>
      </w:r>
      <w:r>
        <w:rPr>
          <w:rFonts w:hint="eastAsia" w:ascii="黑体" w:hAnsi="黑体" w:eastAsia="黑体" w:cs="黑体"/>
          <w:b w:val="0"/>
          <w:bCs w:val="0"/>
          <w:color w:val="auto"/>
          <w:kern w:val="0"/>
          <w:sz w:val="32"/>
          <w:szCs w:val="32"/>
          <w:highlight w:val="none"/>
          <w:lang w:val="en-US" w:eastAsia="zh-CN" w:bidi="ar"/>
        </w:rPr>
        <w:t>三十三</w:t>
      </w:r>
      <w:r>
        <w:rPr>
          <w:rFonts w:hint="default" w:ascii="黑体" w:hAnsi="黑体" w:eastAsia="黑体" w:cs="黑体"/>
          <w:b w:val="0"/>
          <w:bCs w:val="0"/>
          <w:color w:val="auto"/>
          <w:kern w:val="0"/>
          <w:sz w:val="32"/>
          <w:szCs w:val="32"/>
          <w:highlight w:val="none"/>
          <w:lang w:val="en-US" w:eastAsia="zh-CN" w:bidi="ar"/>
        </w:rPr>
        <w:t>条</w:t>
      </w:r>
      <w:r>
        <w:rPr>
          <w:rFonts w:hint="eastAsia" w:ascii="黑体" w:hAnsi="黑体" w:eastAsia="黑体" w:cs="黑体"/>
          <w:b w:val="0"/>
          <w:bCs w:val="0"/>
          <w:color w:val="auto"/>
          <w:kern w:val="0"/>
          <w:sz w:val="32"/>
          <w:szCs w:val="32"/>
          <w:highlight w:val="none"/>
          <w:lang w:val="en-US" w:eastAsia="zh-CN" w:bidi="ar"/>
        </w:rPr>
        <w:t xml:space="preserve">  </w:t>
      </w:r>
      <w:r>
        <w:rPr>
          <w:rFonts w:hint="eastAsia" w:ascii="仿宋_GB2312" w:hAnsi="仿宋_GB2312" w:eastAsia="仿宋_GB2312" w:cs="仿宋_GB2312"/>
          <w:b w:val="0"/>
          <w:bCs w:val="0"/>
          <w:kern w:val="2"/>
          <w:sz w:val="32"/>
          <w:szCs w:val="32"/>
        </w:rPr>
        <w:t>建立健全医疗保障、民政、卫生健康、财政、税务等多部门联合监管机制，</w:t>
      </w:r>
      <w:r>
        <w:rPr>
          <w:rFonts w:hint="eastAsia" w:ascii="仿宋_GB2312" w:hAnsi="仿宋_GB2312" w:eastAsia="仿宋_GB2312" w:cs="仿宋_GB2312"/>
          <w:b w:val="0"/>
          <w:bCs w:val="0"/>
          <w:kern w:val="2"/>
          <w:sz w:val="32"/>
          <w:szCs w:val="32"/>
          <w:lang w:val="en-US" w:eastAsia="zh-CN"/>
        </w:rPr>
        <w:t>逐步完善长期护理保险监管长效机制，</w:t>
      </w:r>
      <w:r>
        <w:rPr>
          <w:rFonts w:hint="eastAsia" w:ascii="仿宋_GB2312" w:hAnsi="仿宋_GB2312" w:eastAsia="仿宋_GB2312" w:cs="仿宋_GB2312"/>
          <w:b w:val="0"/>
          <w:bCs w:val="0"/>
          <w:kern w:val="2"/>
          <w:sz w:val="32"/>
          <w:szCs w:val="32"/>
        </w:rPr>
        <w:t>将长期护理保险基金使用纳入日常监管、智能监管、社会监督等常态化监管范畴</w:t>
      </w:r>
      <w:r>
        <w:rPr>
          <w:rFonts w:hint="eastAsia" w:ascii="仿宋_GB2312" w:hAnsi="仿宋_GB2312" w:eastAsia="仿宋_GB2312" w:cs="仿宋_GB2312"/>
          <w:b w:val="0"/>
          <w:bCs w:val="0"/>
          <w:kern w:val="2"/>
          <w:sz w:val="32"/>
          <w:szCs w:val="32"/>
          <w:lang w:eastAsia="zh-CN"/>
        </w:rPr>
        <w:t>，</w:t>
      </w:r>
      <w:r>
        <w:rPr>
          <w:rFonts w:hint="eastAsia" w:ascii="仿宋_GB2312" w:hAnsi="仿宋_GB2312" w:eastAsia="仿宋_GB2312" w:cs="仿宋_GB2312"/>
          <w:b w:val="0"/>
          <w:bCs w:val="0"/>
          <w:kern w:val="2"/>
          <w:sz w:val="32"/>
          <w:szCs w:val="32"/>
          <w:lang w:val="en-US" w:eastAsia="zh-CN"/>
        </w:rPr>
        <w:t>运用综合巡查、监督检查、智能监管、举报投诉等手段，从严打击长期护理保险领域“假评估、假失能、假服务”等违规行为</w:t>
      </w:r>
      <w:r>
        <w:rPr>
          <w:rFonts w:hint="eastAsia" w:ascii="仿宋_GB2312" w:hAnsi="仿宋_GB2312" w:eastAsia="仿宋_GB2312" w:cs="仿宋_GB2312"/>
          <w:b w:val="0"/>
          <w:bCs w:val="0"/>
          <w:kern w:val="2"/>
          <w:sz w:val="32"/>
          <w:szCs w:val="32"/>
          <w:lang w:eastAsia="zh-CN"/>
        </w:rPr>
        <w:t>，</w:t>
      </w:r>
      <w:r>
        <w:rPr>
          <w:rFonts w:hint="eastAsia" w:ascii="仿宋_GB2312" w:hAnsi="仿宋_GB2312" w:eastAsia="仿宋_GB2312" w:cs="仿宋_GB2312"/>
          <w:b w:val="0"/>
          <w:bCs w:val="0"/>
          <w:kern w:val="2"/>
          <w:sz w:val="32"/>
          <w:szCs w:val="32"/>
          <w:lang w:val="en-US" w:eastAsia="zh-CN"/>
        </w:rPr>
        <w:t>坚决守住基金安全底线</w:t>
      </w:r>
      <w:r>
        <w:rPr>
          <w:rFonts w:hint="eastAsia" w:ascii="仿宋_GB2312" w:hAnsi="仿宋_GB2312" w:eastAsia="仿宋_GB2312" w:cs="仿宋_GB2312"/>
          <w:b w:val="0"/>
          <w:bCs w:val="0"/>
          <w:kern w:val="2"/>
          <w:sz w:val="32"/>
          <w:szCs w:val="32"/>
        </w:rPr>
        <w:t>。</w:t>
      </w:r>
    </w:p>
    <w:p w14:paraId="1C8FA8F7">
      <w:pPr>
        <w:keepNext w:val="0"/>
        <w:keepLines w:val="0"/>
        <w:pageBreakBefore w:val="0"/>
        <w:kinsoku/>
        <w:wordWrap/>
        <w:overflowPunct/>
        <w:bidi w:val="0"/>
        <w:adjustRightInd/>
        <w:snapToGrid/>
        <w:spacing w:line="560" w:lineRule="exact"/>
        <w:ind w:left="0" w:leftChars="0" w:firstLine="640"/>
        <w:textAlignment w:val="auto"/>
        <w:rPr>
          <w:rFonts w:hint="eastAsia" w:ascii="仿宋_GB2312" w:hAnsi="仿宋_GB2312" w:eastAsia="仿宋_GB2312" w:cs="仿宋_GB2312"/>
          <w:b w:val="0"/>
          <w:bCs w:val="0"/>
          <w:kern w:val="2"/>
          <w:sz w:val="32"/>
          <w:szCs w:val="32"/>
          <w:lang w:val="en-US" w:eastAsia="zh-CN"/>
        </w:rPr>
      </w:pPr>
      <w:r>
        <w:rPr>
          <w:rFonts w:hint="default" w:ascii="黑体" w:hAnsi="黑体" w:eastAsia="黑体" w:cs="黑体"/>
          <w:b w:val="0"/>
          <w:bCs w:val="0"/>
          <w:color w:val="auto"/>
          <w:kern w:val="0"/>
          <w:sz w:val="32"/>
          <w:szCs w:val="32"/>
          <w:highlight w:val="none"/>
          <w:lang w:val="en-US" w:eastAsia="zh-CN" w:bidi="ar"/>
        </w:rPr>
        <w:t>第</w:t>
      </w:r>
      <w:r>
        <w:rPr>
          <w:rFonts w:hint="eastAsia" w:ascii="黑体" w:hAnsi="黑体" w:eastAsia="黑体" w:cs="黑体"/>
          <w:b w:val="0"/>
          <w:bCs w:val="0"/>
          <w:color w:val="auto"/>
          <w:kern w:val="0"/>
          <w:sz w:val="32"/>
          <w:szCs w:val="32"/>
          <w:highlight w:val="none"/>
          <w:lang w:val="en-US" w:eastAsia="zh-CN" w:bidi="ar"/>
        </w:rPr>
        <w:t>三十四</w:t>
      </w:r>
      <w:r>
        <w:rPr>
          <w:rFonts w:hint="default" w:ascii="黑体" w:hAnsi="黑体" w:eastAsia="黑体" w:cs="黑体"/>
          <w:b w:val="0"/>
          <w:bCs w:val="0"/>
          <w:color w:val="auto"/>
          <w:kern w:val="0"/>
          <w:sz w:val="32"/>
          <w:szCs w:val="32"/>
          <w:highlight w:val="none"/>
          <w:lang w:val="en-US" w:eastAsia="zh-CN" w:bidi="ar"/>
        </w:rPr>
        <w:t>条</w:t>
      </w:r>
      <w:r>
        <w:rPr>
          <w:rFonts w:hint="eastAsia" w:ascii="黑体" w:hAnsi="黑体" w:eastAsia="黑体" w:cs="黑体"/>
          <w:b w:val="0"/>
          <w:bCs w:val="0"/>
          <w:color w:val="auto"/>
          <w:kern w:val="0"/>
          <w:sz w:val="32"/>
          <w:szCs w:val="32"/>
          <w:highlight w:val="none"/>
          <w:lang w:val="en-US" w:eastAsia="zh-CN" w:bidi="ar"/>
        </w:rPr>
        <w:t xml:space="preserve">  </w:t>
      </w:r>
      <w:r>
        <w:rPr>
          <w:rFonts w:hint="eastAsia" w:ascii="仿宋_GB2312" w:hAnsi="仿宋_GB2312" w:eastAsia="仿宋_GB2312" w:cs="仿宋_GB2312"/>
          <w:b w:val="0"/>
          <w:bCs w:val="0"/>
          <w:kern w:val="2"/>
          <w:sz w:val="32"/>
          <w:szCs w:val="32"/>
        </w:rPr>
        <w:t>建立健全参保人员、服务机构、从业人员信用管理制度，依法依规实施守信激励和失信惩戒。完善举报投诉、信息披露等社会监督机制。</w:t>
      </w:r>
      <w:r>
        <w:rPr>
          <w:rFonts w:hint="eastAsia" w:ascii="仿宋_GB2312" w:hAnsi="仿宋_GB2312" w:eastAsia="仿宋_GB2312" w:cs="仿宋_GB2312"/>
          <w:b w:val="0"/>
          <w:bCs w:val="0"/>
          <w:kern w:val="2"/>
          <w:sz w:val="32"/>
          <w:szCs w:val="32"/>
          <w:lang w:val="en-US" w:eastAsia="zh-CN"/>
        </w:rPr>
        <w:t>探索对定点长护评估机构、服务机构相关人员实行支付资格管理。</w:t>
      </w:r>
    </w:p>
    <w:p w14:paraId="27AA8219">
      <w:pPr>
        <w:keepNext w:val="0"/>
        <w:keepLines w:val="0"/>
        <w:pageBreakBefore w:val="0"/>
        <w:kinsoku/>
        <w:wordWrap/>
        <w:overflowPunct/>
        <w:bidi w:val="0"/>
        <w:adjustRightInd/>
        <w:snapToGrid/>
        <w:spacing w:line="560" w:lineRule="exact"/>
        <w:ind w:left="0" w:leftChars="0" w:firstLine="640"/>
        <w:textAlignment w:val="auto"/>
        <w:rPr>
          <w:rFonts w:hint="eastAsia" w:ascii="仿宋_GB2312" w:hAnsi="仿宋_GB2312" w:eastAsia="仿宋_GB2312" w:cs="仿宋_GB2312"/>
          <w:b w:val="0"/>
          <w:bCs w:val="0"/>
          <w:kern w:val="2"/>
          <w:sz w:val="32"/>
          <w:szCs w:val="32"/>
        </w:rPr>
      </w:pPr>
      <w:r>
        <w:rPr>
          <w:rFonts w:hint="default" w:ascii="黑体" w:hAnsi="黑体" w:eastAsia="黑体" w:cs="黑体"/>
          <w:b w:val="0"/>
          <w:bCs w:val="0"/>
          <w:color w:val="auto"/>
          <w:kern w:val="0"/>
          <w:sz w:val="32"/>
          <w:szCs w:val="32"/>
          <w:highlight w:val="none"/>
          <w:lang w:val="en-US" w:eastAsia="zh-CN" w:bidi="ar"/>
        </w:rPr>
        <w:t>第</w:t>
      </w:r>
      <w:r>
        <w:rPr>
          <w:rFonts w:hint="eastAsia" w:ascii="黑体" w:hAnsi="黑体" w:eastAsia="黑体" w:cs="黑体"/>
          <w:b w:val="0"/>
          <w:bCs w:val="0"/>
          <w:color w:val="auto"/>
          <w:kern w:val="0"/>
          <w:sz w:val="32"/>
          <w:szCs w:val="32"/>
          <w:highlight w:val="none"/>
          <w:lang w:val="en-US" w:eastAsia="zh-CN" w:bidi="ar"/>
        </w:rPr>
        <w:t>三十五</w:t>
      </w:r>
      <w:r>
        <w:rPr>
          <w:rFonts w:hint="default" w:ascii="黑体" w:hAnsi="黑体" w:eastAsia="黑体" w:cs="黑体"/>
          <w:b w:val="0"/>
          <w:bCs w:val="0"/>
          <w:color w:val="auto"/>
          <w:kern w:val="0"/>
          <w:sz w:val="32"/>
          <w:szCs w:val="32"/>
          <w:highlight w:val="none"/>
          <w:lang w:val="en-US" w:eastAsia="zh-CN" w:bidi="ar"/>
        </w:rPr>
        <w:t>条</w:t>
      </w:r>
      <w:r>
        <w:rPr>
          <w:rFonts w:hint="eastAsia" w:ascii="黑体" w:hAnsi="黑体" w:eastAsia="黑体" w:cs="黑体"/>
          <w:b w:val="0"/>
          <w:bCs w:val="0"/>
          <w:color w:val="auto"/>
          <w:kern w:val="0"/>
          <w:sz w:val="32"/>
          <w:szCs w:val="32"/>
          <w:highlight w:val="none"/>
          <w:lang w:val="en-US" w:eastAsia="zh-CN" w:bidi="ar"/>
        </w:rPr>
        <w:t xml:space="preserve">  </w:t>
      </w:r>
      <w:r>
        <w:rPr>
          <w:rFonts w:hint="eastAsia" w:ascii="仿宋_GB2312" w:hAnsi="仿宋_GB2312" w:eastAsia="仿宋_GB2312" w:cs="仿宋_GB2312"/>
          <w:b w:val="0"/>
          <w:bCs w:val="0"/>
          <w:kern w:val="2"/>
          <w:sz w:val="32"/>
          <w:szCs w:val="32"/>
        </w:rPr>
        <w:t>长期护理保险基金的监督管理，参照医疗保障基金使用监督管理相关规定执行。</w:t>
      </w:r>
    </w:p>
    <w:p w14:paraId="3AC48715">
      <w:pPr>
        <w:keepNext w:val="0"/>
        <w:keepLines w:val="0"/>
        <w:pageBreakBefore w:val="0"/>
        <w:kinsoku/>
        <w:wordWrap/>
        <w:overflowPunct/>
        <w:bidi w:val="0"/>
        <w:adjustRightInd/>
        <w:snapToGrid/>
        <w:spacing w:line="560" w:lineRule="exact"/>
        <w:ind w:left="0" w:leftChars="0"/>
        <w:textAlignment w:val="auto"/>
        <w:rPr>
          <w:rFonts w:hint="eastAsia"/>
          <w:sz w:val="32"/>
          <w:szCs w:val="32"/>
        </w:rPr>
      </w:pPr>
    </w:p>
    <w:p w14:paraId="0CDED6BF">
      <w:pPr>
        <w:pStyle w:val="3"/>
        <w:keepNext w:val="0"/>
        <w:keepLines w:val="0"/>
        <w:pageBreakBefore w:val="0"/>
        <w:widowControl/>
        <w:kinsoku/>
        <w:wordWrap/>
        <w:overflowPunct/>
        <w:topLinePunct w:val="0"/>
        <w:autoSpaceDE/>
        <w:autoSpaceDN/>
        <w:bidi w:val="0"/>
        <w:adjustRightInd/>
        <w:snapToGrid/>
        <w:spacing w:before="0" w:after="0" w:line="560" w:lineRule="exact"/>
        <w:ind w:left="0" w:leftChars="0"/>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val="en-US" w:eastAsia="zh-CN"/>
        </w:rPr>
        <w:t>九</w:t>
      </w:r>
      <w:r>
        <w:rPr>
          <w:rFonts w:hint="eastAsia" w:ascii="黑体" w:hAnsi="黑体" w:eastAsia="黑体" w:cs="黑体"/>
          <w:b w:val="0"/>
          <w:bCs w:val="0"/>
          <w:sz w:val="32"/>
          <w:szCs w:val="32"/>
        </w:rPr>
        <w:t>章</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职责分工</w:t>
      </w:r>
    </w:p>
    <w:p w14:paraId="2CC827AC">
      <w:pPr>
        <w:pStyle w:val="10"/>
        <w:keepNext w:val="0"/>
        <w:keepLines w:val="0"/>
        <w:pageBreakBefore w:val="0"/>
        <w:widowControl/>
        <w:kinsoku/>
        <w:wordWrap/>
        <w:overflowPunct/>
        <w:topLinePunct w:val="0"/>
        <w:autoSpaceDE/>
        <w:autoSpaceDN/>
        <w:bidi w:val="0"/>
        <w:adjustRightInd/>
        <w:snapToGrid/>
        <w:spacing w:before="0" w:after="0" w:line="560" w:lineRule="exact"/>
        <w:ind w:left="0" w:leftChars="0" w:firstLine="640" w:firstLineChars="200"/>
        <w:textAlignment w:val="auto"/>
        <w:rPr>
          <w:rFonts w:hint="default" w:ascii="黑体" w:hAnsi="黑体" w:eastAsia="黑体" w:cs="黑体"/>
          <w:b w:val="0"/>
          <w:bCs w:val="0"/>
          <w:color w:val="auto"/>
          <w:kern w:val="0"/>
          <w:sz w:val="32"/>
          <w:szCs w:val="32"/>
          <w:highlight w:val="none"/>
          <w:lang w:val="en-US" w:eastAsia="zh-CN" w:bidi="ar"/>
        </w:rPr>
      </w:pPr>
    </w:p>
    <w:p w14:paraId="1240B327">
      <w:pPr>
        <w:pStyle w:val="10"/>
        <w:keepNext w:val="0"/>
        <w:keepLines w:val="0"/>
        <w:pageBreakBefore w:val="0"/>
        <w:widowControl/>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default" w:ascii="黑体" w:hAnsi="黑体" w:eastAsia="黑体" w:cs="黑体"/>
          <w:b w:val="0"/>
          <w:bCs w:val="0"/>
          <w:color w:val="auto"/>
          <w:kern w:val="0"/>
          <w:sz w:val="32"/>
          <w:szCs w:val="32"/>
          <w:highlight w:val="none"/>
          <w:lang w:val="en-US" w:eastAsia="zh-CN" w:bidi="ar"/>
        </w:rPr>
        <w:t>第</w:t>
      </w:r>
      <w:r>
        <w:rPr>
          <w:rFonts w:hint="eastAsia" w:ascii="黑体" w:hAnsi="黑体" w:eastAsia="黑体" w:cs="黑体"/>
          <w:b w:val="0"/>
          <w:bCs w:val="0"/>
          <w:color w:val="auto"/>
          <w:kern w:val="0"/>
          <w:sz w:val="32"/>
          <w:szCs w:val="32"/>
          <w:highlight w:val="none"/>
          <w:lang w:val="en-US" w:eastAsia="zh-CN" w:bidi="ar"/>
        </w:rPr>
        <w:t>三十六</w:t>
      </w:r>
      <w:r>
        <w:rPr>
          <w:rFonts w:hint="default" w:ascii="黑体" w:hAnsi="黑体" w:eastAsia="黑体" w:cs="黑体"/>
          <w:b w:val="0"/>
          <w:bCs w:val="0"/>
          <w:color w:val="auto"/>
          <w:kern w:val="0"/>
          <w:sz w:val="32"/>
          <w:szCs w:val="32"/>
          <w:highlight w:val="none"/>
          <w:lang w:val="en-US" w:eastAsia="zh-CN" w:bidi="ar"/>
        </w:rPr>
        <w:t>条</w:t>
      </w:r>
      <w:r>
        <w:rPr>
          <w:rFonts w:hint="eastAsia" w:ascii="黑体" w:hAnsi="黑体" w:eastAsia="黑体" w:cs="黑体"/>
          <w:b w:val="0"/>
          <w:bCs w:val="0"/>
          <w:color w:val="auto"/>
          <w:kern w:val="0"/>
          <w:sz w:val="32"/>
          <w:szCs w:val="32"/>
          <w:highlight w:val="none"/>
          <w:lang w:val="en-US" w:eastAsia="zh-CN" w:bidi="ar"/>
        </w:rPr>
        <w:t>　</w:t>
      </w:r>
      <w:r>
        <w:rPr>
          <w:rFonts w:hint="eastAsia" w:ascii="仿宋_GB2312" w:hAnsi="仿宋_GB2312" w:eastAsia="仿宋_GB2312" w:cs="仿宋_GB2312"/>
          <w:b w:val="0"/>
          <w:bCs w:val="0"/>
          <w:kern w:val="2"/>
          <w:sz w:val="32"/>
          <w:szCs w:val="32"/>
          <w:lang w:val="en-US" w:eastAsia="zh-CN" w:bidi="ar-SA"/>
        </w:rPr>
        <w:t>各相关部门应当强化统筹协同，合力推进长期护理保险制度落地实施，及时研究解决政策实施过程中的难点堵点，常态化开展政策落实督导检查。</w:t>
      </w:r>
    </w:p>
    <w:p w14:paraId="38C49ED9">
      <w:pPr>
        <w:pStyle w:val="10"/>
        <w:keepNext w:val="0"/>
        <w:keepLines w:val="0"/>
        <w:pageBreakBefore w:val="0"/>
        <w:widowControl/>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医保部门：牵头统筹长期护理保险制度建设，拟订配套实施政策，统筹定点长护服务机构规划布局，完善经办和服务管理体系。</w:t>
      </w:r>
    </w:p>
    <w:p w14:paraId="6BE15A3D">
      <w:pPr>
        <w:pStyle w:val="10"/>
        <w:keepNext w:val="0"/>
        <w:keepLines w:val="0"/>
        <w:pageBreakBefore w:val="0"/>
        <w:widowControl/>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财政部门：足额筹措拨付各级财政补助资金；会同医保部门研究并动态调整筹资标准、待遇支付政策；强化长期护理保险基金收支监管。</w:t>
      </w:r>
    </w:p>
    <w:p w14:paraId="1B1682C3">
      <w:pPr>
        <w:pStyle w:val="10"/>
        <w:keepNext w:val="0"/>
        <w:keepLines w:val="0"/>
        <w:pageBreakBefore w:val="0"/>
        <w:widowControl/>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税务部门：负责长期护理保险保费征收全流程管理，做好缴费信息传递共享。</w:t>
      </w:r>
    </w:p>
    <w:p w14:paraId="569F553D">
      <w:pPr>
        <w:pStyle w:val="10"/>
        <w:keepNext w:val="0"/>
        <w:keepLines w:val="0"/>
        <w:pageBreakBefore w:val="0"/>
        <w:widowControl/>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民政部门：履行养老服务行业监管职责，统筹优化辖区养老服务资源配置，推动跨部门数据共享共用。</w:t>
      </w:r>
    </w:p>
    <w:p w14:paraId="776778DF">
      <w:pPr>
        <w:pStyle w:val="10"/>
        <w:keepNext w:val="0"/>
        <w:keepLines w:val="0"/>
        <w:pageBreakBefore w:val="0"/>
        <w:widowControl/>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人力资源社会保障部门：统筹做好长期护理保险与工伤保险待遇衔接；负责长期照护师培养、职业技能等级认定；推动退休人员养老金数据共享，落实保费代扣代缴相关工作。</w:t>
      </w:r>
    </w:p>
    <w:p w14:paraId="32463998">
      <w:pPr>
        <w:pStyle w:val="10"/>
        <w:keepNext w:val="0"/>
        <w:keepLines w:val="0"/>
        <w:pageBreakBefore w:val="0"/>
        <w:widowControl/>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卫生健康部门：引导基层医疗机构拓展长期护理服务，发挥家庭医生在失能等级评估中的作用。</w:t>
      </w:r>
    </w:p>
    <w:p w14:paraId="198946DB">
      <w:pPr>
        <w:pStyle w:val="10"/>
        <w:keepNext w:val="0"/>
        <w:keepLines w:val="0"/>
        <w:pageBreakBefore w:val="0"/>
        <w:widowControl/>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农业农村部门：配合做好防止返贫监测对象身份认定，落实参保资助帮扶工作。</w:t>
      </w:r>
    </w:p>
    <w:p w14:paraId="40D5A316">
      <w:pPr>
        <w:pStyle w:val="10"/>
        <w:keepNext w:val="0"/>
        <w:keepLines w:val="0"/>
        <w:pageBreakBefore w:val="0"/>
        <w:widowControl/>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残疾人联合会：开展残疾人参保政策宣传，做好身份信息共享，协同落实残疾人参保帮扶政策。</w:t>
      </w:r>
    </w:p>
    <w:p w14:paraId="744369D0">
      <w:pPr>
        <w:pStyle w:val="10"/>
        <w:keepNext w:val="0"/>
        <w:keepLines w:val="0"/>
        <w:pageBreakBefore w:val="0"/>
        <w:widowControl/>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各县（区）人民政府、各管委会统筹协调属地各部门，协同落实长期护理保险各项工作任务。</w:t>
      </w:r>
    </w:p>
    <w:p w14:paraId="5B22D309">
      <w:pPr>
        <w:keepNext w:val="0"/>
        <w:keepLines w:val="0"/>
        <w:pageBreakBefore w:val="0"/>
        <w:widowControl w:val="0"/>
        <w:suppressLineNumbers w:val="0"/>
        <w:kinsoku/>
        <w:wordWrap/>
        <w:overflowPunct/>
        <w:autoSpaceDE w:val="0"/>
        <w:autoSpaceDN/>
        <w:bidi w:val="0"/>
        <w:adjustRightInd/>
        <w:snapToGrid/>
        <w:spacing w:line="560" w:lineRule="exact"/>
        <w:ind w:left="0" w:leftChars="0"/>
        <w:jc w:val="center"/>
        <w:textAlignment w:val="auto"/>
        <w:rPr>
          <w:rFonts w:hint="eastAsia" w:ascii="黑体" w:hAnsi="宋体" w:eastAsia="黑体" w:cs="黑体"/>
          <w:kern w:val="2"/>
          <w:sz w:val="32"/>
          <w:szCs w:val="32"/>
        </w:rPr>
      </w:pPr>
    </w:p>
    <w:p w14:paraId="0D39B316">
      <w:pPr>
        <w:keepNext w:val="0"/>
        <w:keepLines w:val="0"/>
        <w:pageBreakBefore w:val="0"/>
        <w:widowControl w:val="0"/>
        <w:suppressLineNumbers w:val="0"/>
        <w:kinsoku/>
        <w:wordWrap/>
        <w:overflowPunct/>
        <w:autoSpaceDE w:val="0"/>
        <w:autoSpaceDN/>
        <w:bidi w:val="0"/>
        <w:adjustRightInd/>
        <w:snapToGrid/>
        <w:spacing w:line="560" w:lineRule="exact"/>
        <w:ind w:left="0" w:leftChars="0"/>
        <w:jc w:val="center"/>
        <w:textAlignment w:val="auto"/>
        <w:rPr>
          <w:rFonts w:hint="eastAsia" w:ascii="黑体" w:hAnsi="宋体" w:eastAsia="黑体" w:cs="黑体"/>
          <w:kern w:val="2"/>
          <w:sz w:val="32"/>
          <w:szCs w:val="32"/>
        </w:rPr>
      </w:pPr>
      <w:r>
        <w:rPr>
          <w:rFonts w:hint="eastAsia" w:ascii="黑体" w:hAnsi="宋体" w:eastAsia="黑体" w:cs="黑体"/>
          <w:kern w:val="2"/>
          <w:sz w:val="32"/>
          <w:szCs w:val="32"/>
        </w:rPr>
        <w:t>第</w:t>
      </w:r>
      <w:r>
        <w:rPr>
          <w:rFonts w:hint="eastAsia" w:ascii="黑体" w:hAnsi="宋体" w:eastAsia="黑体" w:cs="黑体"/>
          <w:kern w:val="2"/>
          <w:sz w:val="32"/>
          <w:szCs w:val="32"/>
          <w:lang w:val="en-US" w:eastAsia="zh-CN"/>
        </w:rPr>
        <w:t>十</w:t>
      </w:r>
      <w:r>
        <w:rPr>
          <w:rFonts w:hint="eastAsia" w:ascii="黑体" w:hAnsi="宋体" w:eastAsia="黑体" w:cs="黑体"/>
          <w:kern w:val="2"/>
          <w:sz w:val="32"/>
          <w:szCs w:val="32"/>
        </w:rPr>
        <w:t>章</w:t>
      </w:r>
      <w:r>
        <w:rPr>
          <w:rFonts w:hint="eastAsia" w:ascii="黑体" w:hAnsi="宋体" w:eastAsia="黑体" w:cs="黑体"/>
          <w:kern w:val="2"/>
          <w:sz w:val="32"/>
          <w:szCs w:val="32"/>
          <w:lang w:val="en-US" w:eastAsia="zh-CN"/>
        </w:rPr>
        <w:t xml:space="preserve">  </w:t>
      </w:r>
      <w:r>
        <w:rPr>
          <w:rFonts w:hint="eastAsia" w:ascii="黑体" w:hAnsi="宋体" w:eastAsia="黑体" w:cs="黑体"/>
          <w:kern w:val="2"/>
          <w:sz w:val="32"/>
          <w:szCs w:val="32"/>
        </w:rPr>
        <w:t>附 则</w:t>
      </w:r>
    </w:p>
    <w:p w14:paraId="59ED6C14">
      <w:pPr>
        <w:pStyle w:val="2"/>
        <w:keepNext w:val="0"/>
        <w:keepLines w:val="0"/>
        <w:pageBreakBefore w:val="0"/>
        <w:kinsoku/>
        <w:wordWrap/>
        <w:overflowPunct/>
        <w:bidi w:val="0"/>
        <w:adjustRightInd/>
        <w:snapToGrid/>
        <w:spacing w:line="560" w:lineRule="exact"/>
        <w:ind w:left="0" w:leftChars="0"/>
        <w:textAlignment w:val="auto"/>
        <w:rPr>
          <w:rFonts w:hint="eastAsia" w:ascii="黑体" w:hAnsi="宋体" w:eastAsia="黑体" w:cs="黑体"/>
          <w:kern w:val="2"/>
          <w:sz w:val="32"/>
          <w:szCs w:val="32"/>
        </w:rPr>
      </w:pPr>
      <w:r>
        <w:rPr>
          <w:rFonts w:hint="eastAsia" w:ascii="Calibri" w:hAnsi="Calibri" w:eastAsia="宋体" w:cs="Times New Roman"/>
          <w:kern w:val="2"/>
          <w:sz w:val="21"/>
          <w:szCs w:val="21"/>
        </w:rPr>
        <w:t xml:space="preserve"> </w:t>
      </w:r>
    </w:p>
    <w:p w14:paraId="190BDB63">
      <w:pPr>
        <w:keepNext w:val="0"/>
        <w:keepLines w:val="0"/>
        <w:pageBreakBefore w:val="0"/>
        <w:widowControl/>
        <w:tabs>
          <w:tab w:val="left" w:pos="948"/>
          <w:tab w:val="left" w:pos="2878"/>
        </w:tabs>
        <w:kinsoku/>
        <w:wordWrap/>
        <w:overflowPunct/>
        <w:topLinePunct w:val="0"/>
        <w:autoSpaceDE/>
        <w:autoSpaceDN/>
        <w:bidi w:val="0"/>
        <w:adjustRightInd/>
        <w:snapToGrid/>
        <w:spacing w:before="0" w:after="0" w:line="560" w:lineRule="exact"/>
        <w:ind w:left="0" w:leftChars="0" w:right="0" w:firstLine="640" w:firstLineChars="200"/>
        <w:jc w:val="both"/>
        <w:textAlignment w:val="auto"/>
        <w:rPr>
          <w:rFonts w:hint="eastAsia" w:ascii="仿宋_GB2312" w:hAnsi="仿宋_GB2312" w:eastAsia="仿宋_GB2312" w:cs="仿宋_GB2312"/>
          <w:b w:val="0"/>
          <w:bCs w:val="0"/>
          <w:kern w:val="2"/>
          <w:sz w:val="32"/>
          <w:szCs w:val="32"/>
        </w:rPr>
      </w:pPr>
      <w:r>
        <w:rPr>
          <w:rFonts w:hint="eastAsia" w:ascii="黑体" w:hAnsi="宋体" w:eastAsia="黑体" w:cs="黑体"/>
          <w:kern w:val="2"/>
          <w:sz w:val="32"/>
          <w:szCs w:val="32"/>
        </w:rPr>
        <w:t>第</w:t>
      </w:r>
      <w:r>
        <w:rPr>
          <w:rFonts w:hint="eastAsia" w:ascii="黑体" w:hAnsi="宋体" w:eastAsia="黑体" w:cs="黑体"/>
          <w:kern w:val="2"/>
          <w:sz w:val="32"/>
          <w:szCs w:val="32"/>
          <w:lang w:val="en-US" w:eastAsia="zh-CN"/>
        </w:rPr>
        <w:t>三十七</w:t>
      </w:r>
      <w:r>
        <w:rPr>
          <w:rFonts w:hint="eastAsia" w:ascii="黑体" w:hAnsi="宋体" w:eastAsia="黑体" w:cs="黑体"/>
          <w:kern w:val="2"/>
          <w:sz w:val="32"/>
          <w:szCs w:val="32"/>
        </w:rPr>
        <w:t>条</w:t>
      </w:r>
      <w:r>
        <w:rPr>
          <w:rFonts w:hint="eastAsia" w:ascii="黑体" w:hAnsi="宋体" w:eastAsia="黑体" w:cs="黑体"/>
          <w:kern w:val="2"/>
          <w:sz w:val="32"/>
          <w:szCs w:val="32"/>
          <w:lang w:val="en-US" w:eastAsia="zh-CN"/>
        </w:rPr>
        <w:t xml:space="preserve"> </w:t>
      </w:r>
      <w:r>
        <w:rPr>
          <w:rFonts w:hint="eastAsia" w:ascii="黑体" w:hAnsi="宋体" w:eastAsia="黑体" w:cs="黑体"/>
          <w:kern w:val="0"/>
          <w:sz w:val="32"/>
          <w:szCs w:val="32"/>
          <w:lang w:val="en-US" w:eastAsia="zh-CN"/>
        </w:rPr>
        <w:t xml:space="preserve"> </w:t>
      </w:r>
      <w:r>
        <w:rPr>
          <w:rFonts w:hint="eastAsia" w:ascii="仿宋_GB2312" w:hAnsi="仿宋_GB2312" w:eastAsia="仿宋_GB2312" w:cs="仿宋_GB2312"/>
          <w:b w:val="0"/>
          <w:bCs w:val="0"/>
          <w:kern w:val="2"/>
          <w:sz w:val="32"/>
          <w:szCs w:val="32"/>
        </w:rPr>
        <w:t>长期护理保险参保和待遇享受年度为自然年度，即</w:t>
      </w:r>
      <w:r>
        <w:rPr>
          <w:rFonts w:hint="eastAsia" w:ascii="仿宋_GB2312" w:hAnsi="仿宋_GB2312" w:eastAsia="仿宋_GB2312" w:cs="仿宋_GB2312"/>
          <w:b w:val="0"/>
          <w:bCs w:val="0"/>
          <w:kern w:val="2"/>
          <w:sz w:val="32"/>
          <w:szCs w:val="32"/>
          <w:lang w:eastAsia="zh-CN"/>
        </w:rPr>
        <w:t>１</w:t>
      </w:r>
      <w:r>
        <w:rPr>
          <w:rFonts w:hint="eastAsia" w:ascii="仿宋_GB2312" w:hAnsi="仿宋_GB2312" w:eastAsia="仿宋_GB2312" w:cs="仿宋_GB2312"/>
          <w:b w:val="0"/>
          <w:bCs w:val="0"/>
          <w:kern w:val="2"/>
          <w:sz w:val="32"/>
          <w:szCs w:val="32"/>
        </w:rPr>
        <w:t>月</w:t>
      </w:r>
      <w:r>
        <w:rPr>
          <w:rFonts w:hint="eastAsia" w:ascii="仿宋_GB2312" w:hAnsi="仿宋_GB2312" w:eastAsia="仿宋_GB2312" w:cs="仿宋_GB2312"/>
          <w:b w:val="0"/>
          <w:bCs w:val="0"/>
          <w:kern w:val="2"/>
          <w:sz w:val="32"/>
          <w:szCs w:val="32"/>
          <w:lang w:eastAsia="zh-CN"/>
        </w:rPr>
        <w:t>１</w:t>
      </w:r>
      <w:r>
        <w:rPr>
          <w:rFonts w:hint="eastAsia" w:ascii="仿宋_GB2312" w:hAnsi="仿宋_GB2312" w:eastAsia="仿宋_GB2312" w:cs="仿宋_GB2312"/>
          <w:b w:val="0"/>
          <w:bCs w:val="0"/>
          <w:kern w:val="2"/>
          <w:sz w:val="32"/>
          <w:szCs w:val="32"/>
        </w:rPr>
        <w:t>日至</w:t>
      </w:r>
      <w:r>
        <w:rPr>
          <w:rFonts w:hint="eastAsia" w:ascii="仿宋_GB2312" w:hAnsi="仿宋_GB2312" w:eastAsia="仿宋_GB2312" w:cs="仿宋_GB2312"/>
          <w:b w:val="0"/>
          <w:bCs w:val="0"/>
          <w:kern w:val="2"/>
          <w:sz w:val="32"/>
          <w:szCs w:val="32"/>
          <w:lang w:val="en-US" w:eastAsia="zh-CN"/>
        </w:rPr>
        <w:t>12</w:t>
      </w:r>
      <w:r>
        <w:rPr>
          <w:rFonts w:hint="eastAsia" w:ascii="仿宋_GB2312" w:hAnsi="仿宋_GB2312" w:eastAsia="仿宋_GB2312" w:cs="仿宋_GB2312"/>
          <w:b w:val="0"/>
          <w:bCs w:val="0"/>
          <w:kern w:val="2"/>
          <w:sz w:val="32"/>
          <w:szCs w:val="32"/>
        </w:rPr>
        <w:t>月</w:t>
      </w:r>
      <w:r>
        <w:rPr>
          <w:rFonts w:hint="eastAsia" w:ascii="仿宋_GB2312" w:hAnsi="仿宋_GB2312" w:eastAsia="仿宋_GB2312" w:cs="仿宋_GB2312"/>
          <w:b w:val="0"/>
          <w:bCs w:val="0"/>
          <w:kern w:val="2"/>
          <w:sz w:val="32"/>
          <w:szCs w:val="32"/>
          <w:lang w:val="en-US" w:eastAsia="zh-CN"/>
        </w:rPr>
        <w:t>31</w:t>
      </w:r>
      <w:r>
        <w:rPr>
          <w:rFonts w:hint="eastAsia" w:ascii="仿宋_GB2312" w:hAnsi="仿宋_GB2312" w:eastAsia="仿宋_GB2312" w:cs="仿宋_GB2312"/>
          <w:b w:val="0"/>
          <w:bCs w:val="0"/>
          <w:kern w:val="2"/>
          <w:sz w:val="32"/>
          <w:szCs w:val="32"/>
        </w:rPr>
        <w:t>日。</w:t>
      </w:r>
    </w:p>
    <w:p w14:paraId="409F918C">
      <w:pPr>
        <w:keepNext w:val="0"/>
        <w:keepLines w:val="0"/>
        <w:pageBreakBefore w:val="0"/>
        <w:widowControl/>
        <w:tabs>
          <w:tab w:val="left" w:pos="788"/>
          <w:tab w:val="left" w:pos="2708"/>
        </w:tabs>
        <w:kinsoku/>
        <w:wordWrap/>
        <w:overflowPunct/>
        <w:autoSpaceDE w:val="0"/>
        <w:autoSpaceDN w:val="0"/>
        <w:bidi w:val="0"/>
        <w:adjustRightInd/>
        <w:snapToGrid/>
        <w:spacing w:before="0" w:after="0" w:line="560" w:lineRule="exact"/>
        <w:ind w:left="0" w:leftChars="0" w:right="0" w:firstLine="640" w:firstLineChars="200"/>
        <w:jc w:val="left"/>
        <w:textAlignment w:val="auto"/>
        <w:rPr>
          <w:rFonts w:hint="eastAsia" w:ascii="仿宋_GB2312" w:hAnsi="仿宋_GB2312" w:eastAsia="仿宋_GB2312" w:cs="仿宋_GB2312"/>
          <w:b w:val="0"/>
          <w:bCs w:val="0"/>
          <w:kern w:val="2"/>
          <w:sz w:val="32"/>
          <w:szCs w:val="32"/>
        </w:rPr>
      </w:pPr>
      <w:r>
        <w:rPr>
          <w:rFonts w:hint="eastAsia" w:ascii="黑体" w:hAnsi="黑体" w:eastAsia="黑体" w:cs="黑体"/>
          <w:sz w:val="32"/>
          <w:szCs w:val="32"/>
        </w:rPr>
        <w:t>第三十</w:t>
      </w:r>
      <w:r>
        <w:rPr>
          <w:rFonts w:hint="eastAsia" w:ascii="黑体" w:hAnsi="黑体" w:eastAsia="黑体" w:cs="黑体"/>
          <w:sz w:val="32"/>
          <w:szCs w:val="32"/>
          <w:lang w:val="en-US" w:eastAsia="zh-CN"/>
        </w:rPr>
        <w:t>八</w:t>
      </w:r>
      <w:r>
        <w:rPr>
          <w:rFonts w:hint="eastAsia" w:ascii="黑体" w:hAnsi="黑体" w:eastAsia="黑体" w:cs="黑体"/>
          <w:sz w:val="32"/>
          <w:szCs w:val="32"/>
        </w:rPr>
        <w:t>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b w:val="0"/>
          <w:bCs w:val="0"/>
          <w:kern w:val="2"/>
          <w:sz w:val="32"/>
          <w:szCs w:val="32"/>
        </w:rPr>
        <w:t>市医疗保障部门会同市财政部门，根据</w:t>
      </w:r>
      <w:r>
        <w:rPr>
          <w:rFonts w:hint="eastAsia" w:ascii="仿宋_GB2312" w:hAnsi="仿宋_GB2312" w:eastAsia="仿宋_GB2312" w:cs="仿宋_GB2312"/>
          <w:b w:val="0"/>
          <w:bCs w:val="0"/>
          <w:kern w:val="2"/>
          <w:sz w:val="32"/>
          <w:szCs w:val="32"/>
          <w:lang w:val="en-US" w:eastAsia="zh-CN"/>
        </w:rPr>
        <w:t>我</w:t>
      </w:r>
      <w:r>
        <w:rPr>
          <w:rFonts w:hint="eastAsia" w:ascii="仿宋_GB2312" w:hAnsi="仿宋_GB2312" w:eastAsia="仿宋_GB2312" w:cs="仿宋_GB2312"/>
          <w:b w:val="0"/>
          <w:bCs w:val="0"/>
          <w:kern w:val="2"/>
          <w:sz w:val="32"/>
          <w:szCs w:val="32"/>
        </w:rPr>
        <w:t>市社会济发展和长期护理保险基金运行情况，适时调整完善长期护理保险基金筹集方式，筹资水平和待遇标准。</w:t>
      </w:r>
    </w:p>
    <w:p w14:paraId="220E195A">
      <w:pPr>
        <w:keepNext w:val="0"/>
        <w:keepLines w:val="0"/>
        <w:pageBreakBefore w:val="0"/>
        <w:widowControl/>
        <w:tabs>
          <w:tab w:val="left" w:pos="788"/>
          <w:tab w:val="left" w:pos="2708"/>
        </w:tabs>
        <w:kinsoku/>
        <w:wordWrap/>
        <w:overflowPunct/>
        <w:topLinePunct w:val="0"/>
        <w:autoSpaceDE/>
        <w:autoSpaceDN/>
        <w:bidi w:val="0"/>
        <w:adjustRightInd/>
        <w:snapToGrid/>
        <w:spacing w:before="0" w:after="0" w:line="560" w:lineRule="exact"/>
        <w:ind w:left="0" w:leftChars="0" w:right="0" w:firstLine="0"/>
        <w:jc w:val="left"/>
        <w:textAlignment w:val="auto"/>
        <w:rPr>
          <w:rFonts w:hint="eastAsia" w:ascii="仿宋_GB2312" w:hAnsi="仿宋_GB2312" w:eastAsia="仿宋_GB2312" w:cs="仿宋_GB2312"/>
          <w:b w:val="0"/>
          <w:bCs w:val="0"/>
          <w:kern w:val="2"/>
          <w:sz w:val="32"/>
          <w:szCs w:val="32"/>
        </w:rPr>
      </w:pPr>
      <w:r>
        <w:rPr>
          <w:rFonts w:hint="eastAsia" w:ascii="黑体" w:hAnsi="黑体" w:eastAsia="黑体" w:cs="黑体"/>
        </w:rPr>
        <w:tab/>
      </w:r>
      <w:r>
        <w:rPr>
          <w:rFonts w:hint="eastAsia" w:ascii="黑体" w:hAnsi="黑体" w:eastAsia="黑体" w:cs="黑体"/>
          <w:color w:val="000000"/>
          <w:sz w:val="32"/>
        </w:rPr>
        <w:t>第三十</w:t>
      </w:r>
      <w:r>
        <w:rPr>
          <w:rFonts w:hint="eastAsia" w:ascii="黑体" w:hAnsi="黑体" w:eastAsia="黑体" w:cs="黑体"/>
          <w:color w:val="000000"/>
          <w:sz w:val="32"/>
          <w:lang w:val="en-US" w:eastAsia="zh-CN"/>
        </w:rPr>
        <w:t>九</w:t>
      </w:r>
      <w:r>
        <w:rPr>
          <w:rFonts w:hint="eastAsia" w:ascii="黑体" w:hAnsi="黑体" w:eastAsia="黑体" w:cs="黑体"/>
          <w:color w:val="000000"/>
          <w:sz w:val="32"/>
        </w:rPr>
        <w:t>条</w:t>
      </w:r>
      <w:r>
        <w:tab/>
      </w:r>
      <w:r>
        <w:rPr>
          <w:rFonts w:hint="eastAsia" w:ascii="仿宋_GB2312" w:hAnsi="仿宋_GB2312" w:eastAsia="仿宋_GB2312" w:cs="仿宋_GB2312"/>
          <w:b w:val="0"/>
          <w:bCs w:val="0"/>
          <w:kern w:val="2"/>
          <w:sz w:val="32"/>
          <w:szCs w:val="32"/>
        </w:rPr>
        <w:t>本细则自</w:t>
      </w:r>
      <w:r>
        <w:rPr>
          <w:rFonts w:hint="eastAsia" w:ascii="仿宋_GB2312" w:hAnsi="仿宋_GB2312" w:eastAsia="仿宋_GB2312" w:cs="仿宋_GB2312"/>
          <w:b w:val="0"/>
          <w:bCs w:val="0"/>
          <w:kern w:val="2"/>
          <w:sz w:val="32"/>
          <w:szCs w:val="32"/>
          <w:lang w:val="en-US" w:eastAsia="zh-CN"/>
        </w:rPr>
        <w:t xml:space="preserve">  </w:t>
      </w:r>
      <w:r>
        <w:rPr>
          <w:rFonts w:hint="eastAsia" w:ascii="仿宋_GB2312" w:hAnsi="仿宋_GB2312" w:eastAsia="仿宋_GB2312" w:cs="仿宋_GB2312"/>
          <w:b w:val="0"/>
          <w:bCs w:val="0"/>
          <w:kern w:val="2"/>
          <w:sz w:val="32"/>
          <w:szCs w:val="32"/>
          <w:lang w:eastAsia="zh-CN"/>
        </w:rPr>
        <w:t>年</w:t>
      </w:r>
      <w:r>
        <w:rPr>
          <w:rFonts w:hint="eastAsia" w:ascii="仿宋_GB2312" w:hAnsi="仿宋_GB2312" w:eastAsia="仿宋_GB2312" w:cs="仿宋_GB2312"/>
          <w:b w:val="0"/>
          <w:bCs w:val="0"/>
          <w:kern w:val="2"/>
          <w:sz w:val="32"/>
          <w:szCs w:val="32"/>
          <w:lang w:val="en" w:eastAsia="zh-CN"/>
        </w:rPr>
        <w:t xml:space="preserve"> </w:t>
      </w:r>
      <w:r>
        <w:rPr>
          <w:rFonts w:hint="eastAsia" w:ascii="仿宋_GB2312" w:hAnsi="仿宋_GB2312" w:eastAsia="仿宋_GB2312" w:cs="仿宋_GB2312"/>
          <w:b w:val="0"/>
          <w:bCs w:val="0"/>
          <w:kern w:val="2"/>
          <w:sz w:val="32"/>
          <w:szCs w:val="32"/>
          <w:lang w:eastAsia="zh-CN"/>
        </w:rPr>
        <w:t>月</w:t>
      </w:r>
      <w:r>
        <w:rPr>
          <w:rFonts w:hint="eastAsia" w:ascii="仿宋_GB2312" w:hAnsi="仿宋_GB2312" w:eastAsia="仿宋_GB2312" w:cs="仿宋_GB2312"/>
          <w:b w:val="0"/>
          <w:bCs w:val="0"/>
          <w:kern w:val="2"/>
          <w:sz w:val="32"/>
          <w:szCs w:val="32"/>
          <w:lang w:val="en" w:eastAsia="zh-CN"/>
        </w:rPr>
        <w:t xml:space="preserve"> </w:t>
      </w:r>
      <w:r>
        <w:rPr>
          <w:rFonts w:hint="eastAsia" w:ascii="仿宋_GB2312" w:hAnsi="仿宋_GB2312" w:eastAsia="仿宋_GB2312" w:cs="仿宋_GB2312"/>
          <w:b w:val="0"/>
          <w:bCs w:val="0"/>
          <w:kern w:val="2"/>
          <w:sz w:val="32"/>
          <w:szCs w:val="32"/>
          <w:lang w:eastAsia="zh-CN"/>
        </w:rPr>
        <w:t>日起施行</w:t>
      </w:r>
      <w:r>
        <w:rPr>
          <w:rFonts w:hint="eastAsia" w:ascii="仿宋_GB2312" w:hAnsi="仿宋_GB2312" w:eastAsia="仿宋_GB2312" w:cs="仿宋_GB2312"/>
          <w:b w:val="0"/>
          <w:bCs w:val="0"/>
          <w:kern w:val="2"/>
          <w:sz w:val="32"/>
          <w:szCs w:val="32"/>
        </w:rPr>
        <w:t>。本细则实施后，国家、省有新规定的，从其规定。</w:t>
      </w:r>
    </w:p>
    <w:p w14:paraId="2F2E4C20">
      <w:pPr>
        <w:keepNext w:val="0"/>
        <w:keepLines w:val="0"/>
        <w:pageBreakBefore w:val="0"/>
        <w:kinsoku/>
        <w:wordWrap/>
        <w:overflowPunct/>
        <w:bidi w:val="0"/>
        <w:adjustRightInd/>
        <w:snapToGrid/>
        <w:spacing w:line="560" w:lineRule="exact"/>
        <w:ind w:left="0" w:leftChars="0" w:firstLine="640"/>
        <w:textAlignment w:val="auto"/>
        <w:rPr>
          <w:rFonts w:hint="default"/>
        </w:rPr>
      </w:pPr>
    </w:p>
    <w:p w14:paraId="2FE73570">
      <w:pPr>
        <w:keepNext w:val="0"/>
        <w:keepLines w:val="0"/>
        <w:pageBreakBefore w:val="0"/>
        <w:kinsoku/>
        <w:wordWrap/>
        <w:overflowPunct/>
        <w:bidi w:val="0"/>
        <w:adjustRightInd/>
        <w:snapToGrid/>
        <w:spacing w:line="560" w:lineRule="exact"/>
        <w:ind w:left="0" w:leftChars="0"/>
        <w:textAlignment w:val="auto"/>
        <w:rPr>
          <w:rFonts w:hint="default" w:ascii="仿宋_GB2312" w:hAnsi="仿宋_GB2312" w:eastAsia="仿宋_GB2312" w:cs="仿宋_GB2312"/>
          <w:color w:val="auto"/>
          <w:sz w:val="32"/>
          <w:szCs w:val="32"/>
          <w:lang w:val="en-US" w:eastAsia="zh-CN"/>
        </w:rPr>
      </w:pP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等线">
    <w:altName w:val="微软雅黑"/>
    <w:panose1 w:val="02010600030101010101"/>
    <w:charset w:val="00"/>
    <w:family w:val="auto"/>
    <w:pitch w:val="default"/>
    <w:sig w:usb0="A00002BF" w:usb1="38CF7CFA" w:usb2="00000016" w:usb3="00000000" w:csb0="0004000F" w:csb1="00000000"/>
  </w:font>
  <w:font w:name="仿宋">
    <w:altName w:val="微软雅黑"/>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方正楷体_GBK">
    <w:altName w:val="微软雅黑"/>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STR3kroh+SimHei">
    <w:altName w:val="DejaVu Math TeX Gyre"/>
    <w:panose1 w:val="02000503000000000000"/>
    <w:charset w:val="00"/>
    <w:family w:val="auto"/>
    <w:pitch w:val="default"/>
    <w:sig w:usb0="00000000" w:usb1="08000000" w:usb2="00000010" w:usb3="00000000" w:csb0="00000001" w:csb1="00000000"/>
  </w:font>
  <w:font w:name="sans-serif">
    <w:altName w:val="华光中圆_CNKI"/>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DejaVu Math TeX Gyre">
    <w:panose1 w:val="02000503000000000000"/>
    <w:charset w:val="00"/>
    <w:family w:val="auto"/>
    <w:pitch w:val="default"/>
    <w:sig w:usb0="A10000EF" w:usb1="4201F9EE" w:usb2="02000000" w:usb3="00000000" w:csb0="60000193" w:csb1="0DD40000"/>
  </w:font>
  <w:font w:name="华光中圆_CNKI">
    <w:panose1 w:val="02000500000000000000"/>
    <w:charset w:val="86"/>
    <w:family w:val="auto"/>
    <w:pitch w:val="default"/>
    <w:sig w:usb0="A00002BF" w:usb1="1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C1C5B0">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065E12">
                          <w:pPr>
                            <w:pStyle w:val="4"/>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0A065E12">
                    <w:pPr>
                      <w:pStyle w:val="4"/>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76805"/>
    <w:rsid w:val="010A0887"/>
    <w:rsid w:val="02E132C9"/>
    <w:rsid w:val="03766107"/>
    <w:rsid w:val="0475016D"/>
    <w:rsid w:val="06360982"/>
    <w:rsid w:val="073D0CEA"/>
    <w:rsid w:val="097035F9"/>
    <w:rsid w:val="0AF85654"/>
    <w:rsid w:val="0B195F84"/>
    <w:rsid w:val="0B675067"/>
    <w:rsid w:val="0B7F5D75"/>
    <w:rsid w:val="0BD47E6F"/>
    <w:rsid w:val="0D136775"/>
    <w:rsid w:val="0FC95811"/>
    <w:rsid w:val="102962AF"/>
    <w:rsid w:val="11943BFC"/>
    <w:rsid w:val="129B16E6"/>
    <w:rsid w:val="153FD26B"/>
    <w:rsid w:val="15472F28"/>
    <w:rsid w:val="165322D8"/>
    <w:rsid w:val="16663DB9"/>
    <w:rsid w:val="16EF2001"/>
    <w:rsid w:val="17CF598E"/>
    <w:rsid w:val="17F57A41"/>
    <w:rsid w:val="181D34EA"/>
    <w:rsid w:val="18EB4A4A"/>
    <w:rsid w:val="1E564469"/>
    <w:rsid w:val="1F770DE5"/>
    <w:rsid w:val="20F546B7"/>
    <w:rsid w:val="214967B1"/>
    <w:rsid w:val="228F6446"/>
    <w:rsid w:val="23D52AFA"/>
    <w:rsid w:val="24E75DFD"/>
    <w:rsid w:val="25823923"/>
    <w:rsid w:val="25BD03DC"/>
    <w:rsid w:val="26351E95"/>
    <w:rsid w:val="28186EDD"/>
    <w:rsid w:val="28EF7C3E"/>
    <w:rsid w:val="294A756A"/>
    <w:rsid w:val="2A0C4820"/>
    <w:rsid w:val="2C5B55EB"/>
    <w:rsid w:val="2CDE06F5"/>
    <w:rsid w:val="2E2F2E88"/>
    <w:rsid w:val="2F7E4F0B"/>
    <w:rsid w:val="309F019C"/>
    <w:rsid w:val="326A6587"/>
    <w:rsid w:val="33D94B6B"/>
    <w:rsid w:val="348F22D5"/>
    <w:rsid w:val="34E42621"/>
    <w:rsid w:val="35613C72"/>
    <w:rsid w:val="37160001"/>
    <w:rsid w:val="37841E99"/>
    <w:rsid w:val="37D03331"/>
    <w:rsid w:val="38B13162"/>
    <w:rsid w:val="38DC4C3A"/>
    <w:rsid w:val="39AE5D8E"/>
    <w:rsid w:val="3A5C70FE"/>
    <w:rsid w:val="3B64626A"/>
    <w:rsid w:val="3BEE1FD7"/>
    <w:rsid w:val="3BFD7385"/>
    <w:rsid w:val="3CD64F45"/>
    <w:rsid w:val="3D6A7D83"/>
    <w:rsid w:val="3DA73CF4"/>
    <w:rsid w:val="3EA846BF"/>
    <w:rsid w:val="3F772105"/>
    <w:rsid w:val="3F8E7D59"/>
    <w:rsid w:val="3FD213B8"/>
    <w:rsid w:val="3FEDBB57"/>
    <w:rsid w:val="407A02DD"/>
    <w:rsid w:val="41131073"/>
    <w:rsid w:val="41EA4FEF"/>
    <w:rsid w:val="41FC2EA7"/>
    <w:rsid w:val="42A82238"/>
    <w:rsid w:val="453A3DC4"/>
    <w:rsid w:val="46192347"/>
    <w:rsid w:val="464352CB"/>
    <w:rsid w:val="46873754"/>
    <w:rsid w:val="47A107F0"/>
    <w:rsid w:val="47E4BD6D"/>
    <w:rsid w:val="47E80223"/>
    <w:rsid w:val="48E7672C"/>
    <w:rsid w:val="4D16313C"/>
    <w:rsid w:val="4D1A0E7E"/>
    <w:rsid w:val="4DEF9A76"/>
    <w:rsid w:val="4E6F32E9"/>
    <w:rsid w:val="4EFD2805"/>
    <w:rsid w:val="4FF04118"/>
    <w:rsid w:val="50642410"/>
    <w:rsid w:val="515FCBA9"/>
    <w:rsid w:val="51F15F26"/>
    <w:rsid w:val="532540D9"/>
    <w:rsid w:val="53A72D40"/>
    <w:rsid w:val="552A3C28"/>
    <w:rsid w:val="56B0015D"/>
    <w:rsid w:val="579DA734"/>
    <w:rsid w:val="59F667CF"/>
    <w:rsid w:val="5A8E4C59"/>
    <w:rsid w:val="5D885990"/>
    <w:rsid w:val="5D9F889D"/>
    <w:rsid w:val="5E575898"/>
    <w:rsid w:val="5E914D18"/>
    <w:rsid w:val="5F5A15AE"/>
    <w:rsid w:val="5F7F129E"/>
    <w:rsid w:val="60196D73"/>
    <w:rsid w:val="60285208"/>
    <w:rsid w:val="609E1624"/>
    <w:rsid w:val="618835DC"/>
    <w:rsid w:val="62BF5114"/>
    <w:rsid w:val="639658AD"/>
    <w:rsid w:val="63AB062A"/>
    <w:rsid w:val="65F71905"/>
    <w:rsid w:val="66756CCD"/>
    <w:rsid w:val="678FAD0D"/>
    <w:rsid w:val="69EA26B3"/>
    <w:rsid w:val="6B9C5818"/>
    <w:rsid w:val="6C0B610A"/>
    <w:rsid w:val="6D262AD0"/>
    <w:rsid w:val="6D590F90"/>
    <w:rsid w:val="6D7E67ED"/>
    <w:rsid w:val="6DF42BCE"/>
    <w:rsid w:val="6E3557E7"/>
    <w:rsid w:val="6E8421A4"/>
    <w:rsid w:val="6F5FAC09"/>
    <w:rsid w:val="6F6D3F5B"/>
    <w:rsid w:val="70F6B5F8"/>
    <w:rsid w:val="720158B9"/>
    <w:rsid w:val="73041B05"/>
    <w:rsid w:val="739F2C80"/>
    <w:rsid w:val="761402B1"/>
    <w:rsid w:val="76DF266D"/>
    <w:rsid w:val="77065E4C"/>
    <w:rsid w:val="77B01E3B"/>
    <w:rsid w:val="77F76F46"/>
    <w:rsid w:val="79782905"/>
    <w:rsid w:val="7BE716CF"/>
    <w:rsid w:val="7C3212A7"/>
    <w:rsid w:val="7CC61BD9"/>
    <w:rsid w:val="7CE64029"/>
    <w:rsid w:val="7E76B347"/>
    <w:rsid w:val="7EFFD5CA"/>
    <w:rsid w:val="7F1629A4"/>
    <w:rsid w:val="7F8813C8"/>
    <w:rsid w:val="7FA06711"/>
    <w:rsid w:val="7FDD0503"/>
    <w:rsid w:val="7FEA023B"/>
    <w:rsid w:val="9FF75009"/>
    <w:rsid w:val="AF7305AE"/>
    <w:rsid w:val="B76FC035"/>
    <w:rsid w:val="BD7F447A"/>
    <w:rsid w:val="BEDED24B"/>
    <w:rsid w:val="BEFF0908"/>
    <w:rsid w:val="BEFF5600"/>
    <w:rsid w:val="BFEBD0CB"/>
    <w:rsid w:val="C57E0566"/>
    <w:rsid w:val="DD6B3CB9"/>
    <w:rsid w:val="DDEBD11C"/>
    <w:rsid w:val="EAFECBF7"/>
    <w:rsid w:val="EFCE3B66"/>
    <w:rsid w:val="F6EF1841"/>
    <w:rsid w:val="F7B76F27"/>
    <w:rsid w:val="F9DF0C15"/>
    <w:rsid w:val="FBDF0FD9"/>
    <w:rsid w:val="FBFD2159"/>
    <w:rsid w:val="FFD678E3"/>
    <w:rsid w:val="FFF3DBD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character" w:default="1" w:styleId="8">
    <w:name w:val="Default Paragraph Font"/>
    <w:semiHidden/>
    <w:qFormat/>
    <w:uiPriority w:val="0"/>
  </w:style>
  <w:style w:type="table" w:default="1" w:styleId="7">
    <w:name w:val="Normal Table"/>
    <w:semiHidden/>
    <w:qFormat/>
    <w:uiPriority w:val="0"/>
    <w:tblPr>
      <w:tblStyle w:val="7"/>
      <w:tblCellMar>
        <w:top w:w="0" w:type="dxa"/>
        <w:left w:w="108" w:type="dxa"/>
        <w:bottom w:w="0" w:type="dxa"/>
        <w:right w:w="108" w:type="dxa"/>
      </w:tblCellMar>
    </w:tblPr>
  </w:style>
  <w:style w:type="paragraph" w:styleId="2">
    <w:name w:val="Body Text"/>
    <w:basedOn w:val="1"/>
    <w:next w:val="1"/>
    <w:qFormat/>
    <w:uiPriority w:val="0"/>
    <w:pPr>
      <w:keepNext w:val="0"/>
      <w:keepLines w:val="0"/>
      <w:widowControl w:val="0"/>
      <w:suppressLineNumbers w:val="0"/>
      <w:spacing w:before="0" w:beforeAutospacing="0" w:after="0" w:afterAutospacing="0"/>
      <w:ind w:left="0" w:right="0"/>
      <w:jc w:val="center"/>
    </w:pPr>
    <w:rPr>
      <w:rFonts w:hint="default" w:ascii="Calibri" w:hAnsi="Calibri" w:eastAsia="宋体" w:cs="Times New Roman"/>
      <w:kern w:val="2"/>
      <w:sz w:val="21"/>
      <w:szCs w:val="21"/>
      <w:lang w:val="en-US" w:eastAsia="zh-CN" w:bidi="ar"/>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w:basedOn w:val="2"/>
    <w:qFormat/>
    <w:uiPriority w:val="0"/>
    <w:pPr>
      <w:spacing w:before="1"/>
      <w:ind w:left="120" w:firstLine="420" w:firstLineChars="100"/>
    </w:pPr>
    <w:rPr>
      <w:rFonts w:ascii="宋体" w:hAnsi="宋体" w:eastAsia="宋体" w:cs="宋体"/>
      <w:sz w:val="19"/>
      <w:szCs w:val="19"/>
    </w:rPr>
  </w:style>
  <w:style w:type="character" w:styleId="9">
    <w:name w:val="Strong"/>
    <w:basedOn w:val="8"/>
    <w:qFormat/>
    <w:uiPriority w:val="0"/>
    <w:rPr>
      <w:b/>
    </w:rPr>
  </w:style>
  <w:style w:type="paragraph" w:customStyle="1" w:styleId="10">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6324</Words>
  <Characters>6401</Characters>
  <Lines>0</Lines>
  <Paragraphs>0</Paragraphs>
  <TotalTime>346.333333333333</TotalTime>
  <ScaleCrop>false</ScaleCrop>
  <LinksUpToDate>false</LinksUpToDate>
  <CharactersWithSpaces>6529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2026-06-28T03:51:52Z</dcterms:created>
  <dc:creator>administrator</dc:creator>
  <cp:lastModifiedBy>陶谷雨</cp:lastModifiedBy>
  <cp:lastPrinted>2026-09-08T09:03:17Z</cp:lastPrinted>
  <dcterms:modified xsi:type="dcterms:W3CDTF">2026-09-08T08:01:35Z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83956F84595A4714BB338A2E772D8E17_13</vt:lpwstr>
  </property>
  <property fmtid="{D5CDD505-2E9C-101B-9397-08002B2CF9AE}" pid="4" name="KSOTemplateDocerSaveRecord">
    <vt:lpwstr>eyJoZGlkIjoiZWVmNmQ3YTVmMzZjMWIwODY2NzMwNjM0M2QzOTg1YTIiLCJ1c2VySWQiOiIxNTExNDgxNzQ4In0=</vt:lpwstr>
  </property>
</Properties>
</file>