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CESI仿宋-GB2312" w:eastAsia="宋体" w:cs="宋体" w:hAnsi="CESI仿宋-GB2312"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CESI仿宋-GB2312" w:eastAsia="宋体" w:cs="宋体" w:hAnsi="CESI仿宋-GB2312" w:hint="eastAsia"/>
          <w:b/>
          <w:bCs/>
          <w:sz w:val="44"/>
          <w:szCs w:val="44"/>
          <w:lang w:val="en-US" w:eastAsia="zh-CN"/>
        </w:rPr>
      </w:pPr>
      <w:r>
        <w:rPr>
          <w:rFonts w:ascii="CESI仿宋-GB2312" w:eastAsia="宋体" w:cs="宋体" w:hAnsi="CESI仿宋-GB2312" w:hint="eastAsia"/>
          <w:b/>
          <w:bCs/>
          <w:sz w:val="44"/>
          <w:szCs w:val="44"/>
          <w:lang w:val="en-US" w:eastAsia="zh-CN"/>
        </w:rPr>
        <w:t xml:space="preserve">新乡市医疗保障局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CESI仿宋-GB2312" w:eastAsia="宋体" w:cs="宋体" w:hAnsi="CESI仿宋-GB2312"/>
          <w:b/>
          <w:bCs/>
          <w:sz w:val="44"/>
          <w:szCs w:val="44"/>
          <w:lang w:val="en-US" w:eastAsia="zh-CN"/>
        </w:rPr>
      </w:pPr>
      <w:r>
        <w:rPr>
          <w:rFonts w:ascii="CESI仿宋-GB2312" w:eastAsia="宋体" w:cs="宋体" w:hAnsi="CESI仿宋-GB2312" w:hint="eastAsia"/>
          <w:b/>
          <w:bCs/>
          <w:sz w:val="44"/>
          <w:szCs w:val="44"/>
          <w:lang w:val="en-US" w:eastAsia="zh-CN"/>
        </w:rPr>
        <w:t>新乡市人力资源和社会保障局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CESI仿宋-GB2312" w:eastAsia="宋体" w:cs="宋体" w:hAnsi="CESI仿宋-GB2312" w:hint="eastAsia"/>
          <w:b/>
          <w:bCs/>
          <w:sz w:val="44"/>
          <w:szCs w:val="44"/>
          <w:lang w:val="en-US" w:eastAsia="zh-CN"/>
        </w:rPr>
      </w:pPr>
      <w:r>
        <w:rPr>
          <w:rFonts w:ascii="CESI仿宋-GB2312" w:eastAsia="宋体" w:cs="宋体" w:hAnsi="CESI仿宋-GB2312" w:hint="eastAsia"/>
          <w:b/>
          <w:bCs/>
          <w:sz w:val="44"/>
          <w:szCs w:val="44"/>
          <w:lang w:val="en-US" w:eastAsia="zh-CN"/>
        </w:rPr>
        <w:t>关于规范整合眼科类和美容整形类医疗服务价格项目的通知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CESI仿宋-GB2312" w:eastAsia="仿宋_GB2312" w:cs="仿宋_GB2312" w:hAnsi="CESI仿宋-GB2312"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CESI仿宋-GB2312" w:eastAsia="仿宋_GB2312" w:cs="仿宋_GB2312" w:hAnsi="CESI仿宋-GB2312" w:hint="eastAsia"/>
          <w:sz w:val="32"/>
          <w:szCs w:val="32"/>
          <w:u w:val="none"/>
          <w:lang w:eastAsia="zh-CN"/>
        </w:rPr>
      </w:pPr>
      <w:r>
        <w:rPr>
          <w:rFonts w:ascii="CESI仿宋-GB2312" w:eastAsia="仿宋_GB2312" w:cs="仿宋_GB2312" w:hAnsi="CESI仿宋-GB2312" w:hint="eastAsia"/>
          <w:sz w:val="32"/>
          <w:szCs w:val="32"/>
          <w:lang w:eastAsia="zh-CN"/>
        </w:rPr>
        <w:t>各县（市、区）</w:t>
      </w:r>
      <w:r>
        <w:rPr>
          <w:rFonts w:ascii="CESI仿宋-GB2312" w:eastAsia="仿宋_GB2312" w:cs="仿宋_GB2312" w:hAnsi="CESI仿宋-GB2312" w:hint="eastAsia"/>
          <w:sz w:val="32"/>
          <w:szCs w:val="32"/>
          <w:lang w:val="en-US" w:eastAsia="zh-CN"/>
        </w:rPr>
        <w:t>医疗保障局、</w:t>
      </w:r>
      <w:r>
        <w:rPr>
          <w:rFonts w:ascii="CESI仿宋-GB2312" w:eastAsia="仿宋_GB2312" w:cs="仿宋_GB2312" w:hAnsi="CESI仿宋-GB2312" w:hint="eastAsia"/>
          <w:sz w:val="32"/>
          <w:szCs w:val="32"/>
          <w:lang w:eastAsia="zh-CN"/>
        </w:rPr>
        <w:t>人力资源和社会保障局</w:t>
      </w:r>
      <w:r>
        <w:rPr>
          <w:rFonts w:ascii="CESI仿宋-GB2312" w:eastAsia="仿宋_GB2312" w:cs="仿宋_GB2312" w:hAnsi="CESI仿宋-GB2312" w:hint="eastAsia"/>
          <w:sz w:val="32"/>
          <w:szCs w:val="32"/>
          <w:lang w:val="en-US" w:eastAsia="zh-CN"/>
        </w:rPr>
        <w:t>，市医疗保险中心</w:t>
      </w:r>
      <w:r>
        <w:rPr>
          <w:rFonts w:ascii="CESI仿宋-GB2312" w:eastAsia="仿宋_GB2312" w:cs="仿宋_GB2312" w:hAnsi="CESI仿宋-GB2312" w:hint="eastAsia"/>
          <w:sz w:val="32"/>
          <w:szCs w:val="32"/>
          <w:u w:val="none"/>
          <w:lang w:val="en-US" w:eastAsia="zh-CN"/>
        </w:rPr>
        <w:t>，相关</w:t>
      </w:r>
      <w:r>
        <w:rPr>
          <w:rFonts w:ascii="CESI仿宋-GB2312" w:eastAsia="仿宋_GB2312" w:cs="仿宋_GB2312" w:hAnsi="CESI仿宋-GB2312" w:hint="eastAsia"/>
          <w:sz w:val="32"/>
          <w:szCs w:val="32"/>
          <w:u w:val="none"/>
          <w:lang w:eastAsia="zh-CN"/>
        </w:rPr>
        <w:t>公立医疗机构：</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根据</w:t>
      </w:r>
      <w:r>
        <w:rPr>
          <w:rFonts w:ascii="仿宋_GB2312" w:eastAsia="仿宋_GB2312" w:cs="仿宋_GB2312" w:hAnsi="仿宋_GB2312" w:hint="eastAsia"/>
          <w:color w:val="auto"/>
          <w:kern w:val="0"/>
          <w:sz w:val="32"/>
          <w:szCs w:val="32"/>
          <w:lang w:val="en-US" w:eastAsia="zh-CN"/>
        </w:rPr>
        <w:t>国家医保局</w:t>
      </w:r>
      <w:r>
        <w:rPr>
          <w:rFonts w:ascii="仿宋_GB2312" w:eastAsia="仿宋_GB2312" w:cs="仿宋_GB2312" w:hAnsi="仿宋_GB2312" w:hint="eastAsia"/>
          <w:sz w:val="32"/>
          <w:szCs w:val="32"/>
          <w:lang w:eastAsia="zh-CN"/>
        </w:rPr>
        <w:t>《关于印发 &lt;眼科类医疗服务价格项 目立项指南 (试行)  &gt;  的通知》  (医保价采 函〔2024〕 287号)  和《关于印发 &lt;美容整形类医疗服务价格项 目立项指南 (试行)  &gt;  的通知》 (医保价采 函〔2025〕 119号)</w:t>
      </w:r>
      <w:r>
        <w:rPr>
          <w:spacing w:val="17"/>
        </w:rPr>
        <w:t xml:space="preserve"> </w:t>
      </w:r>
      <w:r>
        <w:rPr>
          <w:rFonts w:ascii="仿宋_GB2312" w:eastAsia="仿宋_GB2312" w:cs="仿宋_GB2312" w:hAnsi="仿宋_GB2312" w:hint="eastAsia"/>
          <w:sz w:val="32"/>
          <w:szCs w:val="32"/>
          <w:lang w:eastAsia="zh-CN"/>
        </w:rPr>
        <w:t>和《河南省医疗保障局</w:t>
      </w:r>
      <w:r>
        <w:rPr>
          <w:rFonts w:ascii="仿宋_GB2312" w:eastAsia="仿宋_GB2312" w:cs="仿宋_GB2312" w:hAnsi="仿宋_GB2312" w:hint="eastAsia"/>
          <w:sz w:val="32"/>
          <w:szCs w:val="32"/>
          <w:lang w:val="en-US" w:eastAsia="zh-CN"/>
        </w:rPr>
        <w:t xml:space="preserve"> 河南省人力资源和社会保障厅关于规范整合眼科类和美容整形类医疗服务价格项目的通知</w:t>
      </w:r>
      <w:r>
        <w:rPr>
          <w:rFonts w:ascii="仿宋_GB2312" w:eastAsia="仿宋_GB2312" w:cs="仿宋_GB2312" w:hAnsi="仿宋_GB2312" w:hint="eastAsia"/>
          <w:sz w:val="32"/>
          <w:szCs w:val="32"/>
          <w:lang w:eastAsia="zh-CN"/>
        </w:rPr>
        <w:t>》（豫医保办〔20</w:t>
      </w:r>
      <w:r>
        <w:rPr>
          <w:rFonts w:ascii="仿宋_GB2312" w:eastAsia="仿宋_GB2312" w:cs="仿宋_GB2312" w:hAnsi="仿宋_GB2312" w:hint="eastAsia"/>
          <w:sz w:val="32"/>
          <w:szCs w:val="32"/>
          <w:lang w:val="en-US" w:eastAsia="zh-CN"/>
        </w:rPr>
        <w:t>25</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71</w:t>
      </w:r>
      <w:r>
        <w:rPr>
          <w:rFonts w:ascii="仿宋_GB2312" w:eastAsia="仿宋_GB2312" w:cs="仿宋_GB2312" w:hAnsi="仿宋_GB2312" w:hint="eastAsia"/>
          <w:sz w:val="32"/>
          <w:szCs w:val="32"/>
          <w:lang w:eastAsia="zh-CN"/>
        </w:rPr>
        <w:t>号）要求，</w:t>
      </w:r>
      <w:r>
        <w:rPr>
          <w:rFonts w:ascii="CESI仿宋-GB2312" w:eastAsia="仿宋_GB2312" w:cs="仿宋_GB2312" w:hAnsi="CESI仿宋-GB2312" w:hint="eastAsia"/>
          <w:sz w:val="32"/>
          <w:szCs w:val="32"/>
          <w:lang w:val="en-US" w:eastAsia="zh-CN"/>
        </w:rPr>
        <w:t>现就规范整合眼科类和美容整形类医疗服务价格项目通知如下：</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一、取消现行““普通视力检查” “医疗美容心理诊断及辅导”等 425个价格项 目 ;  规范整合 “视力检查费 (普通)  ” “美容治疗费 (光/激光)  ” 等 226个眼科类、 美容整形类价格项 目 (见附件) 。</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sz w:val="32"/>
          <w:szCs w:val="32"/>
          <w:lang w:val="en-US" w:eastAsia="zh-CN"/>
        </w:rPr>
      </w:pPr>
      <w:r>
        <w:rPr>
          <w:rFonts w:ascii="CESI仿宋-GB2312" w:eastAsia="仿宋_GB2312" w:cs="仿宋_GB2312" w:hAnsi="CESI仿宋-GB2312" w:hint="eastAsia"/>
          <w:sz w:val="32"/>
          <w:szCs w:val="32"/>
          <w:lang w:val="en-US" w:eastAsia="zh-CN"/>
        </w:rPr>
        <w:t>二、</w:t>
      </w:r>
      <w:r>
        <w:rPr>
          <w:spacing w:val="-63"/>
          <w:position w:val="1"/>
        </w:rPr>
        <w:t xml:space="preserve"> </w:t>
      </w:r>
      <w:r>
        <w:rPr>
          <w:rFonts w:ascii="CESI仿宋-GB2312" w:eastAsia="仿宋_GB2312" w:cs="仿宋_GB2312" w:hAnsi="CESI仿宋-GB2312" w:hint="eastAsia"/>
          <w:sz w:val="32"/>
          <w:szCs w:val="32"/>
          <w:lang w:val="en-US" w:eastAsia="zh-CN"/>
        </w:rPr>
        <w:t>对 “视力检查费 (普通)  ” 等 119</w:t>
      </w:r>
      <w:r>
        <w:rPr>
          <w:rFonts w:ascii="CESI仿宋-GB2312" w:eastAsia="仿宋_GB2312" w:cs="仿宋_GB2312" w:hAnsi="CESI仿宋-GB2312" w:hint="eastAsia"/>
          <w:color w:val="auto"/>
          <w:sz w:val="32"/>
          <w:szCs w:val="32"/>
          <w:lang w:val="en-US" w:eastAsia="zh-CN"/>
        </w:rPr>
        <w:t>个价格项目</w:t>
      </w:r>
      <w:r>
        <w:rPr>
          <w:rFonts w:ascii="CESI仿宋-GB2312" w:eastAsia="仿宋_GB2312" w:cs="仿宋_GB2312" w:hAnsi="CESI仿宋-GB2312"/>
          <w:color w:val="auto"/>
          <w:sz w:val="32"/>
          <w:szCs w:val="32"/>
          <w:lang w:val="en-US" w:eastAsia="zh-CN"/>
        </w:rPr>
        <w:t>制定</w:t>
      </w:r>
      <w:r>
        <w:rPr>
          <w:rFonts w:ascii="CESI仿宋-GB2312" w:eastAsia="仿宋_GB2312" w:cs="仿宋_GB2312" w:hAnsi="CESI仿宋-GB2312" w:hint="eastAsia"/>
          <w:sz w:val="32"/>
          <w:szCs w:val="32"/>
          <w:lang w:val="en-US" w:eastAsia="zh-CN"/>
        </w:rPr>
        <w:t>省管公立医疗机构政府指导价基础上</w:t>
      </w:r>
      <w:r>
        <w:rPr>
          <w:rFonts w:ascii="CESI仿宋-GB2312" w:eastAsia="仿宋_GB2312" w:cs="仿宋_GB2312" w:hAnsi="CESI仿宋-GB2312" w:hint="eastAsia"/>
          <w:sz w:val="32"/>
          <w:szCs w:val="32"/>
          <w:u w:val="none"/>
          <w:lang w:val="en-US" w:eastAsia="zh-CN"/>
        </w:rPr>
        <w:t>。</w:t>
      </w:r>
      <w:r>
        <w:rPr>
          <w:rFonts w:ascii="CESI仿宋-GB2312" w:eastAsia="仿宋_GB2312" w:cs="仿宋_GB2312" w:hAnsi="CESI仿宋-GB2312" w:hint="eastAsia"/>
          <w:sz w:val="32"/>
          <w:szCs w:val="32"/>
          <w:lang w:val="en-US" w:eastAsia="zh-CN"/>
        </w:rPr>
        <w:t>确定我市项目价格，原则上同一价区应保持价格相对平衡，对技术难度低、服务均质化程度高的价格项目，缩小不同等级医疗机构间的价格差距，避免基层医疗机构价格过低影响医疗供给。</w:t>
      </w:r>
      <w:r>
        <w:rPr>
          <w:spacing w:val="16"/>
          <w:position w:val="1"/>
        </w:rPr>
        <w:t>“</w:t>
      </w:r>
      <w:r>
        <w:rPr>
          <w:rFonts w:ascii="CESI仿宋-GB2312" w:eastAsia="仿宋_GB2312" w:cs="仿宋_GB2312" w:hAnsi="CESI仿宋-GB2312" w:hint="eastAsia"/>
          <w:sz w:val="32"/>
          <w:szCs w:val="32"/>
          <w:lang w:val="en-US" w:eastAsia="zh-CN"/>
        </w:rPr>
        <w:t>泪腺脱垂复位费” “美容治疗费 (光/激光)  ” 等 107个医疗服务价格项目实行市场调节价，医疗机构自主确定价格，按照价格管理权限向医保部门备案。</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三、各级医保部门要加强政策学习和宣传，向医疗机构和患者讲清政策变化情况，做好答疑解惑，确保项目规范执行。加强项目落地后的跟踪监测，定期分析运行情况以及对医疗费用、医保基金的影响，发现问题及时研究解决，主动防范和控制风险。</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hint="eastAsia"/>
          <w:sz w:val="32"/>
          <w:szCs w:val="32"/>
          <w:lang w:val="en-US" w:eastAsia="zh-CN"/>
        </w:rPr>
      </w:pPr>
      <w:r>
        <w:rPr>
          <w:rFonts w:ascii="CESI仿宋-GB2312" w:eastAsia="仿宋_GB2312" w:cs="仿宋_GB2312" w:hAnsi="CESI仿宋-GB2312" w:hint="eastAsia"/>
          <w:sz w:val="32"/>
          <w:szCs w:val="32"/>
          <w:lang w:val="en-US" w:eastAsia="zh-CN"/>
        </w:rPr>
        <w:t>四、各级工伤保险经办机构在工伤保险基金支付治疗工伤相关费用时参照本通知执行，工伤保险支付费用时不区分甲、乙类。</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outlineLvl w:val="9"/>
        <w:rPr>
          <w:rFonts w:ascii="CESI仿宋-GB2312" w:eastAsia="仿宋_GB2312" w:cs="仿宋_GB2312" w:hAnsi="CESI仿宋-GB2312" w:hint="eastAsia"/>
          <w:color w:val="auto"/>
          <w:sz w:val="32"/>
          <w:szCs w:val="32"/>
          <w:lang w:val="en-US" w:eastAsia="zh-CN"/>
        </w:rPr>
      </w:pPr>
      <w:r>
        <w:rPr>
          <w:rFonts w:ascii="CESI仿宋-GB2312" w:eastAsia="仿宋_GB2312" w:cs="仿宋_GB2312" w:hAnsi="CESI仿宋-GB2312" w:hint="eastAsia"/>
          <w:color w:val="auto"/>
          <w:sz w:val="32"/>
          <w:szCs w:val="32"/>
          <w:lang w:val="en-US" w:eastAsia="zh-CN"/>
          <w:highlight w:val="auto"/>
        </w:rPr>
        <w:t>本通知自2026年2月1日起执行。</w:t>
      </w:r>
      <w:r>
        <w:rPr>
          <w:rFonts w:ascii="CESI仿宋-GB2312" w:eastAsia="仿宋_GB2312" w:cs="仿宋_GB2312" w:hAnsi="CESI仿宋-GB2312" w:hint="eastAsia"/>
          <w:color w:val="auto"/>
          <w:sz w:val="32"/>
          <w:szCs w:val="32"/>
          <w:lang w:val="en-US" w:eastAsia="zh-CN"/>
        </w:rPr>
        <w:t>各级医保经办机构和公立医疗机构要尽快更新医保信息系统和医院管理系统数据，提前做好各项衔接工作。在执行中如有问题和建议，请及时报市医疗保障局、市人力资源和社会保障局。</w:t>
      </w:r>
    </w:p>
    <w:p>
      <w:pPr>
        <w:ind w:leftChars="304" w:left="1918" w:hangingChars="400" w:hanging="1280"/>
        <w:rPr>
          <w:rFonts w:ascii="CESI仿宋-GB2312" w:eastAsia="仿宋_GB2312" w:cs="仿宋_GB2312" w:hAnsi="CESI仿宋-GB2312"/>
          <w:sz w:val="32"/>
          <w:szCs w:val="32"/>
        </w:rPr>
      </w:pPr>
      <w:r>
        <w:rPr>
          <w:rFonts w:ascii="CESI仿宋-GB2312" w:eastAsia="仿宋_GB2312" w:cs="仿宋_GB2312" w:hAnsi="CESI仿宋-GB2312" w:hint="eastAsia"/>
          <w:color w:val="auto"/>
          <w:sz w:val="32"/>
          <w:szCs w:val="32"/>
          <w:lang w:val="en-US" w:eastAsia="zh-CN"/>
        </w:rPr>
        <w:t>附件：</w:t>
      </w:r>
      <w:r>
        <w:rPr>
          <w:rFonts w:ascii="CESI仿宋-GB2312" w:eastAsia="仿宋_GB2312" w:cs="仿宋_GB2312" w:hAnsi="CESI仿宋-GB2312" w:hint="eastAsia"/>
          <w:sz w:val="32"/>
          <w:szCs w:val="32"/>
        </w:rPr>
        <w:t>1.</w:t>
      </w:r>
      <w:r>
        <w:rPr>
          <w:rFonts w:ascii="CESI仿宋-GB2312" w:eastAsia="仿宋_GB2312" w:cs="仿宋_GB2312" w:hAnsi="CESI仿宋-GB2312" w:hint="eastAsia"/>
          <w:sz w:val="32"/>
          <w:szCs w:val="32"/>
          <w:lang w:eastAsia="zh-CN"/>
        </w:rPr>
        <w:t>新乡市</w:t>
      </w:r>
      <w:r>
        <w:rPr>
          <w:rFonts w:ascii="CESI仿宋-GB2312" w:eastAsia="仿宋_GB2312" w:cs="仿宋_GB2312" w:hAnsi="CESI仿宋-GB2312" w:hint="eastAsia"/>
          <w:sz w:val="32"/>
          <w:szCs w:val="32"/>
          <w:lang w:val="en-US" w:eastAsia="zh-CN"/>
        </w:rPr>
        <w:t>规范整合眼科类和美容整形类</w:t>
      </w:r>
      <w:r>
        <w:rPr>
          <w:rFonts w:ascii="CESI仿宋-GB2312" w:eastAsia="仿宋_GB2312" w:cs="仿宋_GB2312" w:hAnsi="CESI仿宋-GB2312" w:hint="eastAsia"/>
          <w:sz w:val="32"/>
          <w:szCs w:val="32"/>
        </w:rPr>
        <w:t>医疗服务价格项目</w:t>
      </w:r>
    </w:p>
    <w:p>
      <w:pPr>
        <w:rPr>
          <w:rFonts w:ascii="CESI仿宋-GB2312" w:eastAsia="仿宋_GB2312" w:cs="仿宋_GB2312" w:hAnsi="CESI仿宋-GB2312" w:hint="eastAsia"/>
          <w:sz w:val="32"/>
          <w:szCs w:val="32"/>
        </w:rPr>
      </w:pPr>
      <w:r>
        <w:rPr>
          <w:rFonts w:ascii="CESI仿宋-GB2312" w:eastAsia="仿宋_GB2312" w:cs="仿宋_GB2312" w:hAnsi="CESI仿宋-GB2312" w:hint="eastAsia"/>
          <w:sz w:val="32"/>
          <w:szCs w:val="32"/>
          <w:lang w:val="en-US" w:eastAsia="zh-CN"/>
        </w:rPr>
        <w:t xml:space="preserve">         </w:t>
      </w:r>
      <w:r>
        <w:rPr>
          <w:rFonts w:ascii="CESI仿宋-GB2312" w:eastAsia="仿宋_GB2312" w:cs="仿宋_GB2312" w:hAnsi="CESI仿宋-GB2312" w:hint="eastAsia"/>
          <w:sz w:val="32"/>
          <w:szCs w:val="32"/>
        </w:rPr>
        <w:t>2.</w:t>
      </w:r>
      <w:r>
        <w:rPr>
          <w:rFonts w:ascii="CESI仿宋-GB2312" w:eastAsia="仿宋_GB2312" w:cs="仿宋_GB2312" w:hAnsi="CESI仿宋-GB2312" w:hint="eastAsia"/>
          <w:sz w:val="32"/>
          <w:szCs w:val="32"/>
          <w:lang w:eastAsia="zh-CN"/>
        </w:rPr>
        <w:t>新乡市</w:t>
      </w:r>
      <w:r>
        <w:rPr>
          <w:rFonts w:ascii="CESI仿宋-GB2312" w:eastAsia="仿宋_GB2312" w:cs="仿宋_GB2312" w:hAnsi="CESI仿宋-GB2312" w:hint="eastAsia"/>
          <w:sz w:val="32"/>
          <w:szCs w:val="32"/>
          <w:lang w:val="en-US" w:eastAsia="zh-CN"/>
        </w:rPr>
        <w:t>取消</w:t>
      </w:r>
      <w:r>
        <w:rPr>
          <w:rFonts w:ascii="CESI仿宋-GB2312" w:eastAsia="仿宋_GB2312" w:cs="仿宋_GB2312" w:hAnsi="CESI仿宋-GB2312" w:hint="eastAsia"/>
          <w:sz w:val="32"/>
          <w:szCs w:val="32"/>
        </w:rPr>
        <w:t>医疗服务价格项目</w:t>
      </w:r>
    </w:p>
    <w:p>
      <w:pPr>
        <w:keepNext w:val="0"/>
        <w:keepLines w:val="0"/>
        <w:pageBreakBefore w:val="0"/>
        <w:widowControl w:val="0"/>
        <w:kinsoku/>
        <w:wordWrap w:val="0"/>
        <w:overflowPunct/>
        <w:topLinePunct w:val="0"/>
        <w:autoSpaceDE/>
        <w:autoSpaceDN/>
        <w:bidi w:val="0"/>
        <w:adjustRightInd/>
        <w:snapToGrid/>
        <w:spacing w:line="600" w:lineRule="exact"/>
        <w:ind w:firstLineChars="200" w:firstLine="640"/>
        <w:jc w:val="right"/>
        <w:textAlignment w:val="auto"/>
        <w:outlineLvl w:val="9"/>
        <w:rPr>
          <w:rFonts w:ascii="CESI仿宋-GB2312" w:eastAsia="仿宋_GB2312" w:cs="仿宋_GB2312" w:hAnsi="CESI仿宋-GB2312" w:hint="eastAsia"/>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Chars="200" w:firstLine="640"/>
        <w:jc w:val="right"/>
        <w:textAlignment w:val="auto"/>
        <w:outlineLvl w:val="9"/>
        <w:rPr>
          <w:rFonts w:ascii="CESI仿宋-GB2312" w:eastAsia="仿宋_GB2312" w:cs="仿宋_GB2312" w:hAnsi="CESI仿宋-GB2312" w:hint="eastAsia"/>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Chars="200" w:firstLine="640"/>
        <w:jc w:val="right"/>
        <w:textAlignment w:val="auto"/>
        <w:outlineLvl w:val="9"/>
        <w:rPr>
          <w:rFonts w:ascii="CESI仿宋-GB2312" w:hAnsi="CESI仿宋-GB2312"/>
        </w:rPr>
      </w:pPr>
      <w:r>
        <w:rPr>
          <w:rFonts w:ascii="CESI仿宋-GB2312" w:eastAsia="仿宋_GB2312" w:cs="仿宋_GB2312" w:hAnsi="CESI仿宋-GB2312"/>
          <w:color w:val="auto"/>
          <w:sz w:val="32"/>
          <w:szCs w:val="32"/>
          <w:lang w:val="en-US" w:eastAsia="zh-CN"/>
        </w:rPr>
        <w:t>*</w:t>
      </w:r>
      <w:bookmarkStart w:id="0" w:name="_GoBack"/>
      <w:bookmarkEnd w:id="0"/>
      <w:r>
        <w:rPr>
          <w:rFonts w:ascii="CESI仿宋-GB2312" w:eastAsia="仿宋_GB2312" w:cs="仿宋_GB2312" w:hAnsi="CESI仿宋-GB2312"/>
          <w:color w:val="auto"/>
          <w:sz w:val="32"/>
          <w:szCs w:val="32"/>
          <w:lang w:val="en-US" w:eastAsia="zh-CN"/>
        </w:rPr>
        <w:t>***</w:t>
      </w:r>
      <w:r>
        <w:rPr>
          <w:rFonts w:ascii="CESI仿宋-GB2312" w:eastAsia="仿宋_GB2312" w:cs="仿宋_GB2312" w:hAnsi="CESI仿宋-GB2312" w:hint="eastAsia"/>
          <w:color w:val="auto"/>
          <w:sz w:val="32"/>
          <w:szCs w:val="32"/>
          <w:lang w:val="en-US" w:eastAsia="zh-CN"/>
        </w:rPr>
        <w:t>年</w:t>
      </w:r>
      <w:r>
        <w:rPr>
          <w:rFonts w:ascii="CESI仿宋-GB2312" w:eastAsia="仿宋_GB2312" w:cs="仿宋_GB2312" w:hAnsi="CESI仿宋-GB2312"/>
          <w:color w:val="auto"/>
          <w:sz w:val="32"/>
          <w:szCs w:val="32"/>
          <w:lang w:val="en-US" w:eastAsia="zh-CN"/>
        </w:rPr>
        <w:t>**</w:t>
      </w:r>
      <w:r>
        <w:rPr>
          <w:rFonts w:ascii="CESI仿宋-GB2312" w:eastAsia="仿宋_GB2312" w:cs="仿宋_GB2312" w:hAnsi="CESI仿宋-GB2312" w:hint="eastAsia"/>
          <w:color w:val="auto"/>
          <w:sz w:val="32"/>
          <w:szCs w:val="32"/>
          <w:lang w:val="en-US" w:eastAsia="zh-CN"/>
        </w:rPr>
        <w:t>月</w:t>
      </w:r>
      <w:r>
        <w:rPr>
          <w:rFonts w:ascii="CESI仿宋-GB2312" w:eastAsia="仿宋_GB2312" w:cs="仿宋_GB2312" w:hAnsi="CESI仿宋-GB2312"/>
          <w:color w:val="auto"/>
          <w:sz w:val="32"/>
          <w:szCs w:val="32"/>
          <w:lang w:val="en-US" w:eastAsia="zh-CN"/>
        </w:rPr>
        <w:t>**</w:t>
      </w:r>
      <w:r>
        <w:rPr>
          <w:rFonts w:ascii="CESI仿宋-GB2312" w:eastAsia="仿宋_GB2312" w:cs="仿宋_GB2312" w:hAnsi="CESI仿宋-GB2312" w:hint="eastAsia"/>
          <w:color w:val="auto"/>
          <w:sz w:val="32"/>
          <w:szCs w:val="32"/>
          <w:lang w:val="en-US" w:eastAsia="zh-CN"/>
        </w:rPr>
        <w:t xml:space="preserve">日       </w:t>
      </w:r>
    </w:p>
    <w:sectPr>
      <w:footerReference w:type="default" r:id="rId2"/>
      <w:pgSz w:w="11906" w:h="16838"/>
      <w:pgMar w:top="2041" w:right="1531" w:bottom="2041" w:left="1531"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altName w:val="仿宋"/>
    <w:panose1 w:val="02000500000000000000"/>
    <w:charset w:val="86"/>
    <w:family w:val="auto"/>
    <w:pitch w:val="variable"/>
    <w:sig w:usb0="00000000" w:usb1="00000000" w:usb2="00000010" w:usb3="00000000" w:csb0="0004000F" w:csb1="00000000"/>
  </w:font>
  <w:font w:name="宋体">
    <w:altName w:val="方正书宋_GBK"/>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Times New Roman">
    <w:altName w:val="Nimbus Roman No9 L"/>
    <w:panose1 w:val="02020603050405020304"/>
    <w:charset w:val="86"/>
    <w:family w:val="auto"/>
    <w:pitch w:val="variable"/>
    <w:sig w:usb0="00000000" w:usb1="00000000" w:usb2="00000009" w:usb3="00000000" w:csb0="400001FF" w:csb1="FFFF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微软雅黑">
    <w:altName w:val="黑体"/>
    <w:panose1 w:val="020B0503020204020204"/>
    <w:charset w:val="86"/>
    <w:family w:val="auto"/>
    <w:pitch w:val="variable"/>
    <w:sig w:usb0="00000000" w:usb1="0000000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76198"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6198" cy="131559"/>
                      </a:xfrm>
                      <a:prstGeom prst="rect"/>
                      <a:noFill/>
                      <a:ln w="6350" cmpd="sng" cap="flat">
                        <a:noFill/>
                        <a:prstDash val="solid"/>
                        <a:round/>
                      </a:ln>
                    </wps:spPr>
                    <wps:txbx id="2">
                      <w:txbxContent>
                        <w:p>
                          <w:pPr>
                            <w:pStyle w:val="15"/>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9999084pt;height:10.35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TJkMTI4NTA5ZjM5YTk0NDk3OTgxOTMyMDc2ZWZmZT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next w:val="16"/>
    <w:pPr>
      <w:tabs>
        <w:tab w:val="center" w:pos="4153"/>
        <w:tab w:val="right" w:pos="8306"/>
      </w:tabs>
      <w:snapToGrid w:val="0"/>
      <w:jc w:val="left"/>
    </w:pPr>
    <w:rPr>
      <w:sz w:val="18"/>
    </w:rPr>
  </w:style>
  <w:style w:type="paragraph" w:styleId="16">
    <w:name w:val="index 5"/>
    <w:basedOn w:val="0"/>
    <w:next w:val="0"/>
    <w:pPr>
      <w:ind w:left="1680"/>
    </w:pPr>
  </w:style>
  <w:style w:type="paragraph" w:styleId="17">
    <w:name w:val="Body Text"/>
    <w:basedOn w:val="0"/>
    <w:rPr>
      <w:rFonts w:ascii="微软雅黑" w:eastAsia="微软雅黑" w:cs="微软雅黑" w:hAnsi="微软雅黑"/>
      <w:sz w:val="29"/>
      <w:szCs w:val="29"/>
      <w:lang w:val="en-US" w:bidi="ar-SA"/>
    </w:rPr>
  </w:style>
  <w:style w:type="paragraph" w:styleId="18">
    <w:name w:val="header"/>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3B26670-F7AA-43C0-8853-867AC501213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20</TotalTime>
  <Application>Yozo_Office27021597764231179</Application>
  <Pages>3</Pages>
  <Words>0</Words>
  <Characters>738</Characters>
  <Lines>0</Lines>
  <Paragraphs>18</Paragraphs>
  <CharactersWithSpaces>985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cr</dc:creator>
  <cp:lastModifiedBy>administrator</cp:lastModifiedBy>
  <cp:revision>1</cp:revision>
  <cp:lastPrinted>2025-12-03T16:08:16Z</cp:lastPrinted>
  <dcterms:created xsi:type="dcterms:W3CDTF">2025-03-09T07:18:00Z</dcterms:created>
  <dcterms:modified xsi:type="dcterms:W3CDTF">2025-12-08T03:01:23Z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2052-11.8.2.11625</vt:lpwstr>
  </property>
  <property fmtid="{D5CDD505-2E9C-101B-9397-08002B2CF9AE}" pid="3" name="ICV">
    <vt:lpwstr>5408819994CB443CAC1F967BF8565543_11</vt:lpwstr>
  </property>
  <property fmtid="{D5CDD505-2E9C-101B-9397-08002B2CF9AE}" pid="4" name="KSOTemplateDocerSaveRecord">
    <vt:lpwstr>eyJoZGlkIjoiOWQ5MTM0Y2M1YzM1NTc0MjBiNTY1M2Y4OThiNDFlYWUiLCJ1c2VySWQiOiIyODUwODAwODAifQ==</vt:lpwstr>
  </property>
</Properties>
</file>