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spacing w:line="298" w:lineRule="auto"/>
      </w:pPr>
    </w:p>
    <w:p>
      <w:pPr>
        <w:pStyle w:val="15"/>
        <w:spacing w:line="298" w:lineRule="auto"/>
      </w:pPr>
    </w:p>
    <w:p>
      <w:pPr>
        <w:pStyle w:val="15"/>
        <w:spacing w:line="298" w:lineRule="auto"/>
      </w:pPr>
    </w:p>
    <w:p>
      <w:pPr>
        <w:pStyle w:val="15"/>
        <w:spacing w:line="300" w:lineRule="auto"/>
      </w:pPr>
    </w:p>
    <w:p>
      <w:pPr>
        <w:pStyle w:val="15"/>
        <w:spacing w:line="269" w:lineRule="auto"/>
      </w:pPr>
    </w:p>
    <w:p>
      <w:pPr>
        <w:pStyle w:val="15"/>
        <w:spacing w:line="269" w:lineRule="auto"/>
      </w:pPr>
    </w:p>
    <w:p>
      <w:pPr>
        <w:pStyle w:val="15"/>
        <w:spacing w:line="269" w:lineRule="auto"/>
      </w:pPr>
    </w:p>
    <w:p>
      <w:pPr>
        <w:pStyle w:val="15"/>
        <w:spacing w:line="269" w:lineRule="auto"/>
      </w:pPr>
    </w:p>
    <w:p>
      <w:pPr>
        <w:pStyle w:val="15"/>
        <w:spacing w:line="269" w:lineRule="auto"/>
      </w:pPr>
    </w:p>
    <w:p>
      <w:pPr>
        <w:pStyle w:val="15"/>
        <w:spacing w:line="269" w:lineRule="auto"/>
        <w:rPr>
          <w:rFonts w:ascii="方正小标宋简体" w:eastAsia="方正小标宋简体" w:cs="方正小标宋简体" w:hAnsi="方正小标宋简体" w:hint="eastAsia"/>
          <w:snapToGrid w:val="0"/>
          <w:color w:val="000000"/>
          <w:spacing w:val="-20"/>
          <w:w w:val="93"/>
          <w:kern w:val="0"/>
          <w:position w:val="-3"/>
          <w:sz w:val="44"/>
          <w:szCs w:val="44"/>
          <w:lang w:val="en-US" w:eastAsia="zh-CN" w:bidi="ar-SA"/>
        </w:rPr>
      </w:pPr>
    </w:p>
    <w:p>
      <w:pPr>
        <w:pStyle w:val="15"/>
        <w:spacing w:line="269" w:lineRule="auto"/>
        <w:jc w:val="center"/>
        <w:rPr>
          <w:rFonts w:ascii="方正小标宋简体" w:eastAsia="方正小标宋简体" w:cs="方正小标宋简体" w:hAnsi="方正小标宋简体" w:hint="eastAsia"/>
          <w:snapToGrid w:val="0"/>
          <w:color w:val="000000"/>
          <w:spacing w:val="-20"/>
          <w:w w:val="93"/>
          <w:kern w:val="0"/>
          <w:position w:val="-3"/>
          <w:sz w:val="44"/>
          <w:szCs w:val="44"/>
          <w:lang w:val="en-US" w:eastAsia="zh-CN" w:bidi="ar-SA"/>
        </w:rPr>
      </w:pPr>
      <w:r>
        <w:rPr>
          <w:rFonts w:ascii="方正小标宋简体" w:eastAsia="方正小标宋简体" w:cs="方正小标宋简体" w:hAnsi="方正小标宋简体" w:hint="eastAsia"/>
          <w:snapToGrid w:val="0"/>
          <w:color w:val="000000"/>
          <w:spacing w:val="-20"/>
          <w:w w:val="93"/>
          <w:kern w:val="0"/>
          <w:position w:val="-3"/>
          <w:sz w:val="44"/>
          <w:szCs w:val="44"/>
          <w:lang w:val="en-US" w:eastAsia="zh-CN" w:bidi="ar-SA"/>
        </w:rPr>
        <w:t>新乡市医疗保障局</w:t>
      </w:r>
    </w:p>
    <w:p>
      <w:pPr>
        <w:spacing w:before="214" w:line="502" w:lineRule="exact"/>
        <w:jc w:val="center"/>
        <w:rPr>
          <w:rFonts w:ascii="方正小标宋简体" w:eastAsia="方正小标宋简体" w:cs="方正小标宋简体" w:hAnsi="方正小标宋简体" w:hint="eastAsia"/>
          <w:spacing w:val="-20"/>
          <w:w w:val="96"/>
          <w:position w:val="-2"/>
          <w:sz w:val="44"/>
          <w:szCs w:val="44"/>
        </w:rPr>
      </w:pPr>
      <w:r>
        <w:rPr>
          <w:rFonts w:ascii="方正小标宋简体" w:eastAsia="方正小标宋简体" w:cs="方正小标宋简体" w:hAnsi="方正小标宋简体" w:hint="eastAsia"/>
          <w:spacing w:val="-20"/>
          <w:w w:val="93"/>
          <w:position w:val="-3"/>
          <w:sz w:val="44"/>
          <w:szCs w:val="44"/>
          <w:lang w:eastAsia="zh-CN"/>
        </w:rPr>
        <w:t>关于修订《新乡市</w:t>
      </w:r>
      <w:r>
        <w:rPr>
          <w:rFonts w:ascii="方正小标宋简体" w:eastAsia="方正小标宋简体" w:cs="方正小标宋简体" w:hAnsi="方正小标宋简体" w:hint="eastAsia"/>
          <w:spacing w:val="-20"/>
          <w:w w:val="93"/>
          <w:position w:val="-3"/>
          <w:sz w:val="44"/>
          <w:szCs w:val="44"/>
        </w:rPr>
        <w:t>紧密型县域医共体</w:t>
      </w:r>
      <w:r>
        <w:rPr>
          <w:rFonts w:ascii="方正小标宋简体" w:eastAsia="方正小标宋简体" w:cs="方正小标宋简体" w:hAnsi="方正小标宋简体" w:hint="eastAsia"/>
          <w:spacing w:val="-20"/>
          <w:w w:val="96"/>
          <w:position w:val="-2"/>
          <w:sz w:val="44"/>
          <w:szCs w:val="44"/>
        </w:rPr>
        <w:t>医疗保障管理</w:t>
      </w:r>
    </w:p>
    <w:p>
      <w:pPr>
        <w:spacing w:before="214" w:line="502" w:lineRule="exact"/>
        <w:jc w:val="center"/>
        <w:rPr>
          <w:rFonts w:ascii="方正小标宋简体" w:eastAsia="方正小标宋简体" w:cs="方正小标宋简体" w:hAnsi="方正小标宋简体" w:hint="eastAsia"/>
          <w:sz w:val="44"/>
          <w:szCs w:val="44"/>
          <w:lang w:eastAsia="zh-CN"/>
        </w:rPr>
      </w:pPr>
      <w:r>
        <w:rPr>
          <w:rFonts w:ascii="方正小标宋简体" w:eastAsia="方正小标宋简体" w:cs="方正小标宋简体" w:hAnsi="方正小标宋简体" w:hint="eastAsia"/>
          <w:spacing w:val="-20"/>
          <w:w w:val="96"/>
          <w:position w:val="-2"/>
          <w:sz w:val="44"/>
          <w:szCs w:val="44"/>
        </w:rPr>
        <w:t>工作</w:t>
      </w:r>
      <w:r>
        <w:rPr>
          <w:rFonts w:ascii="方正小标宋简体" w:eastAsia="方正小标宋简体" w:cs="方正小标宋简体" w:hAnsi="方正小标宋简体" w:hint="eastAsia"/>
          <w:spacing w:val="-20"/>
          <w:w w:val="96"/>
          <w:position w:val="-2"/>
          <w:sz w:val="44"/>
          <w:szCs w:val="44"/>
          <w:lang w:eastAsia="zh-CN"/>
        </w:rPr>
        <w:t>实施</w:t>
      </w:r>
      <w:r>
        <w:rPr>
          <w:rFonts w:ascii="方正小标宋简体" w:eastAsia="方正小标宋简体" w:cs="方正小标宋简体" w:hAnsi="方正小标宋简体" w:hint="eastAsia"/>
          <w:spacing w:val="-20"/>
          <w:w w:val="96"/>
          <w:position w:val="-2"/>
          <w:sz w:val="44"/>
          <w:szCs w:val="44"/>
        </w:rPr>
        <w:t>方案 (试行)</w:t>
      </w:r>
      <w:r>
        <w:rPr>
          <w:rFonts w:ascii="方正小标宋简体" w:eastAsia="方正小标宋简体" w:cs="方正小标宋简体" w:hAnsi="方正小标宋简体" w:hint="eastAsia"/>
          <w:spacing w:val="-20"/>
          <w:w w:val="96"/>
          <w:position w:val="-2"/>
          <w:sz w:val="44"/>
          <w:szCs w:val="44"/>
          <w:lang w:eastAsia="zh-CN"/>
        </w:rPr>
        <w:t>》的通知</w:t>
      </w:r>
    </w:p>
    <w:p>
      <w:pPr>
        <w:pStyle w:val="15"/>
        <w:spacing w:line="269" w:lineRule="auto"/>
      </w:pPr>
    </w:p>
    <w:p>
      <w:pPr>
        <w:spacing w:before="101" w:line="221" w:lineRule="auto"/>
        <w:rPr>
          <w:rFonts w:ascii="仿宋_GB2312" w:eastAsia="仿宋_GB2312" w:cs="仿宋_GB2312" w:hAnsi="仿宋_GB2312" w:hint="eastAsia"/>
          <w:sz w:val="32"/>
          <w:szCs w:val="32"/>
        </w:rPr>
      </w:pPr>
      <w:r>
        <w:rPr>
          <w:rFonts w:ascii="仿宋_GB2312" w:eastAsia="仿宋_GB2312" w:cs="仿宋_GB2312" w:hAnsi="仿宋_GB2312" w:hint="eastAsia"/>
          <w:spacing w:val="5"/>
          <w:sz w:val="32"/>
          <w:szCs w:val="32"/>
        </w:rPr>
        <w:t>各县(市、</w:t>
      </w:r>
      <w:r>
        <w:rPr>
          <w:rFonts w:ascii="仿宋_GB2312" w:eastAsia="仿宋_GB2312" w:cs="仿宋_GB2312" w:hAnsi="仿宋_GB2312" w:hint="eastAsia"/>
          <w:spacing w:val="-69"/>
          <w:sz w:val="32"/>
          <w:szCs w:val="32"/>
        </w:rPr>
        <w:t xml:space="preserve"> </w:t>
      </w:r>
      <w:r>
        <w:rPr>
          <w:rFonts w:ascii="仿宋_GB2312" w:eastAsia="仿宋_GB2312" w:cs="仿宋_GB2312" w:hAnsi="仿宋_GB2312" w:hint="eastAsia"/>
          <w:spacing w:val="5"/>
          <w:sz w:val="32"/>
          <w:szCs w:val="32"/>
        </w:rPr>
        <w:t>区)医疗保障局，</w:t>
      </w:r>
      <w:r>
        <w:rPr>
          <w:rFonts w:ascii="仿宋_GB2312" w:eastAsia="仿宋_GB2312" w:cs="仿宋_GB2312" w:hAnsi="仿宋_GB2312" w:hint="eastAsia"/>
          <w:spacing w:val="5"/>
          <w:sz w:val="32"/>
          <w:szCs w:val="32"/>
          <w:lang w:eastAsia="zh-CN"/>
        </w:rPr>
        <w:t>局属各单位</w:t>
      </w:r>
      <w:r>
        <w:rPr>
          <w:rFonts w:ascii="仿宋_GB2312" w:eastAsia="仿宋_GB2312" w:cs="仿宋_GB2312" w:hAnsi="仿宋_GB2312" w:hint="eastAsia"/>
          <w:spacing w:val="5"/>
          <w:sz w:val="32"/>
          <w:szCs w:val="32"/>
        </w:rPr>
        <w:t>，相关单位：</w:t>
      </w:r>
    </w:p>
    <w:p>
      <w:pPr>
        <w:spacing w:before="231" w:line="358" w:lineRule="auto"/>
        <w:ind w:left="1" w:right="26" w:firstLine="636"/>
        <w:jc w:val="both"/>
        <w:rPr>
          <w:rFonts w:ascii="仿宋_GB2312" w:eastAsia="仿宋_GB2312" w:cs="仿宋_GB2312" w:hAnsi="仿宋_GB2312" w:hint="eastAsia"/>
          <w:sz w:val="32"/>
          <w:szCs w:val="32"/>
        </w:rPr>
      </w:pPr>
      <w:r>
        <w:rPr>
          <w:rFonts w:ascii="仿宋_GB2312" w:eastAsia="仿宋_GB2312" w:cs="仿宋_GB2312" w:hAnsi="仿宋_GB2312" w:hint="eastAsia"/>
          <w:spacing w:val="9"/>
          <w:sz w:val="32"/>
          <w:szCs w:val="32"/>
        </w:rPr>
        <w:t>根据省、市关于紧密型县域医共体建设有关要求,市医疗保</w:t>
      </w:r>
      <w:r>
        <w:rPr>
          <w:rFonts w:ascii="仿宋_GB2312" w:eastAsia="仿宋_GB2312" w:cs="仿宋_GB2312" w:hAnsi="仿宋_GB2312" w:hint="eastAsia"/>
          <w:spacing w:val="4"/>
          <w:sz w:val="32"/>
          <w:szCs w:val="32"/>
        </w:rPr>
        <w:t>障局修订完善了《</w:t>
      </w:r>
      <w:r>
        <w:rPr>
          <w:rFonts w:ascii="仿宋_GB2312" w:eastAsia="仿宋_GB2312" w:cs="仿宋_GB2312" w:hAnsi="仿宋_GB2312" w:hint="eastAsia"/>
          <w:spacing w:val="4"/>
          <w:sz w:val="32"/>
          <w:szCs w:val="32"/>
          <w:lang w:eastAsia="zh-CN"/>
        </w:rPr>
        <w:t>新乡</w:t>
      </w:r>
      <w:r>
        <w:rPr>
          <w:rFonts w:ascii="仿宋_GB2312" w:eastAsia="仿宋_GB2312" w:cs="仿宋_GB2312" w:hAnsi="仿宋_GB2312" w:hint="eastAsia"/>
          <w:spacing w:val="4"/>
          <w:sz w:val="32"/>
          <w:szCs w:val="32"/>
        </w:rPr>
        <w:t>市紧密型县域医共体医疗保障管理</w:t>
      </w:r>
      <w:r>
        <w:rPr>
          <w:rFonts w:ascii="仿宋_GB2312" w:eastAsia="仿宋_GB2312" w:cs="仿宋_GB2312" w:hAnsi="仿宋_GB2312" w:hint="eastAsia"/>
          <w:spacing w:val="4"/>
          <w:sz w:val="32"/>
          <w:szCs w:val="32"/>
          <w:lang w:eastAsia="zh-CN"/>
        </w:rPr>
        <w:t>工作实施方案</w:t>
      </w:r>
      <w:r>
        <w:rPr>
          <w:rFonts w:ascii="仿宋_GB2312" w:eastAsia="仿宋_GB2312" w:cs="仿宋_GB2312" w:hAnsi="仿宋_GB2312" w:hint="eastAsia"/>
          <w:spacing w:val="4"/>
          <w:sz w:val="32"/>
          <w:szCs w:val="32"/>
        </w:rPr>
        <w:t>(试行)》,指导</w:t>
      </w:r>
      <w:r>
        <w:rPr>
          <w:rFonts w:ascii="仿宋_GB2312" w:eastAsia="仿宋_GB2312" w:cs="仿宋_GB2312" w:hAnsi="仿宋_GB2312" w:hint="eastAsia"/>
          <w:spacing w:val="4"/>
          <w:sz w:val="32"/>
          <w:szCs w:val="32"/>
          <w:lang w:eastAsia="zh-CN"/>
        </w:rPr>
        <w:t>我市</w:t>
      </w:r>
      <w:r>
        <w:rPr>
          <w:rFonts w:ascii="仿宋_GB2312" w:eastAsia="仿宋_GB2312" w:cs="仿宋_GB2312" w:hAnsi="仿宋_GB2312" w:hint="eastAsia"/>
          <w:spacing w:val="4"/>
          <w:sz w:val="32"/>
          <w:szCs w:val="32"/>
        </w:rPr>
        <w:t>开展紧密型县域医共体医疗保障管理工作,现印</w:t>
      </w:r>
      <w:r>
        <w:rPr>
          <w:rFonts w:ascii="仿宋_GB2312" w:eastAsia="仿宋_GB2312" w:cs="仿宋_GB2312" w:hAnsi="仿宋_GB2312" w:hint="eastAsia"/>
          <w:spacing w:val="7"/>
          <w:sz w:val="32"/>
          <w:szCs w:val="32"/>
        </w:rPr>
        <w:t>发给你们,请结合实际,贯彻落实。</w:t>
      </w:r>
    </w:p>
    <w:p>
      <w:pPr>
        <w:pStyle w:val="15"/>
        <w:spacing w:line="245" w:lineRule="auto"/>
      </w:pPr>
    </w:p>
    <w:p>
      <w:pPr>
        <w:pStyle w:val="15"/>
        <w:spacing w:line="245" w:lineRule="auto"/>
      </w:pPr>
    </w:p>
    <w:p>
      <w:pPr>
        <w:pStyle w:val="15"/>
        <w:spacing w:line="247" w:lineRule="auto"/>
      </w:pPr>
    </w:p>
    <w:p>
      <w:pPr>
        <w:pStyle w:val="15"/>
        <w:spacing w:line="247" w:lineRule="auto"/>
      </w:pPr>
    </w:p>
    <w:p>
      <w:pPr>
        <w:pStyle w:val="15"/>
        <w:spacing w:line="247" w:lineRule="auto"/>
      </w:pPr>
    </w:p>
    <w:p>
      <w:pPr>
        <w:pStyle w:val="15"/>
        <w:spacing w:line="247" w:lineRule="auto"/>
      </w:pPr>
    </w:p>
    <w:p>
      <w:pPr>
        <w:pStyle w:val="15"/>
        <w:spacing w:line="247" w:lineRule="auto"/>
      </w:pPr>
    </w:p>
    <w:p>
      <w:pPr>
        <w:pStyle w:val="15"/>
        <w:spacing w:line="247" w:lineRule="auto"/>
      </w:pPr>
    </w:p>
    <w:p>
      <w:pPr>
        <w:pStyle w:val="15"/>
        <w:spacing w:line="259" w:lineRule="auto"/>
        <w:jc w:val="right"/>
        <w:rPr>
          <w:rFonts w:ascii="仿宋_GB2312" w:eastAsia="仿宋_GB2312" w:cs="仿宋_GB2312" w:hAnsi="仿宋_GB2312" w:hint="eastAsia"/>
          <w:snapToGrid w:val="0"/>
          <w:color w:val="000000"/>
          <w:spacing w:val="7"/>
          <w:kern w:val="0"/>
          <w:sz w:val="32"/>
          <w:szCs w:val="32"/>
          <w:lang w:val="en-US" w:bidi="ar-SA"/>
        </w:rPr>
      </w:pPr>
      <w:r>
        <w:rPr>
          <w:rFonts w:ascii="仿宋_GB2312" w:eastAsia="仿宋_GB2312" w:cs="仿宋_GB2312" w:hAnsi="仿宋_GB2312" w:hint="eastAsia"/>
          <w:snapToGrid w:val="0"/>
          <w:color w:val="000000"/>
          <w:spacing w:val="7"/>
          <w:kern w:val="0"/>
          <w:sz w:val="32"/>
          <w:szCs w:val="32"/>
          <w:lang w:val="en-US" w:eastAsia="zh-CN" w:bidi="ar-SA"/>
        </w:rPr>
        <w:t>2025年</w:t>
      </w:r>
      <w:r>
        <w:rPr>
          <w:rFonts w:ascii="仿宋_GB2312" w:eastAsia="仿宋_GB2312" w:cs="仿宋_GB2312" w:hAnsi="仿宋_GB2312"/>
          <w:snapToGrid w:val="0"/>
          <w:color w:val="000000"/>
          <w:spacing w:val="7"/>
          <w:kern w:val="0"/>
          <w:sz w:val="32"/>
          <w:szCs w:val="32"/>
          <w:lang w:val="en-US" w:eastAsia="zh-CN" w:bidi="ar-SA"/>
        </w:rPr>
        <w:t>X</w:t>
      </w:r>
      <w:r>
        <w:rPr>
          <w:rFonts w:ascii="仿宋_GB2312" w:eastAsia="仿宋_GB2312" w:cs="仿宋_GB2312" w:hAnsi="仿宋_GB2312" w:hint="eastAsia"/>
          <w:snapToGrid w:val="0"/>
          <w:color w:val="000000"/>
          <w:spacing w:val="7"/>
          <w:kern w:val="0"/>
          <w:sz w:val="32"/>
          <w:szCs w:val="32"/>
          <w:lang w:val="en-US" w:eastAsia="zh-CN" w:bidi="ar-SA"/>
        </w:rPr>
        <w:t>月</w:t>
      </w:r>
      <w:r>
        <w:rPr>
          <w:rFonts w:ascii="仿宋_GB2312" w:eastAsia="仿宋_GB2312" w:cs="仿宋_GB2312" w:hAnsi="仿宋_GB2312"/>
          <w:snapToGrid w:val="0"/>
          <w:color w:val="000000"/>
          <w:spacing w:val="7"/>
          <w:kern w:val="0"/>
          <w:sz w:val="32"/>
          <w:szCs w:val="32"/>
          <w:lang w:val="en-US" w:eastAsia="zh-CN" w:bidi="ar-SA"/>
        </w:rPr>
        <w:t>X</w:t>
      </w:r>
      <w:bookmarkStart w:id="0" w:name="_GoBack"/>
      <w:bookmarkEnd w:id="0"/>
      <w:r>
        <w:rPr>
          <w:rFonts w:ascii="仿宋_GB2312" w:eastAsia="仿宋_GB2312" w:cs="仿宋_GB2312" w:hAnsi="仿宋_GB2312" w:hint="eastAsia"/>
          <w:snapToGrid w:val="0"/>
          <w:color w:val="000000"/>
          <w:spacing w:val="7"/>
          <w:kern w:val="0"/>
          <w:sz w:val="32"/>
          <w:szCs w:val="32"/>
          <w:lang w:val="en-US" w:eastAsia="zh-CN" w:bidi="ar-SA"/>
        </w:rPr>
        <w:t>日</w:t>
      </w:r>
    </w:p>
    <w:p>
      <w:pPr>
        <w:pStyle w:val="15"/>
        <w:spacing w:line="259" w:lineRule="auto"/>
      </w:pPr>
    </w:p>
    <w:p>
      <w:pPr>
        <w:pStyle w:val="15"/>
        <w:spacing w:line="259" w:lineRule="auto"/>
      </w:pPr>
    </w:p>
    <w:p>
      <w:pPr>
        <w:pStyle w:val="15"/>
        <w:spacing w:line="259" w:lineRule="auto"/>
      </w:pPr>
    </w:p>
    <w:p>
      <w:pPr>
        <w:pStyle w:val="15"/>
        <w:spacing w:line="259" w:lineRule="auto"/>
      </w:pPr>
    </w:p>
    <w:p>
      <w:pPr>
        <w:pStyle w:val="15"/>
        <w:spacing w:line="259" w:lineRule="auto"/>
      </w:pPr>
    </w:p>
    <w:p>
      <w:pPr>
        <w:pStyle w:val="15"/>
        <w:spacing w:line="259" w:lineRule="auto"/>
      </w:pPr>
    </w:p>
    <w:p>
      <w:pPr>
        <w:pStyle w:val="15"/>
        <w:spacing w:line="259" w:lineRule="auto"/>
      </w:pPr>
    </w:p>
    <w:p>
      <w:pPr>
        <w:pStyle w:val="15"/>
        <w:spacing w:line="259" w:lineRule="auto"/>
      </w:pPr>
    </w:p>
    <w:p>
      <w:pPr>
        <w:spacing w:line="181" w:lineRule="exact"/>
        <w:sectPr>
          <w:headerReference w:type="default" r:id="rId2"/>
          <w:footerReference w:type="default" r:id="rId3"/>
          <w:pgSz w:w="11906" w:h="16839"/>
          <w:pgMar w:top="400" w:right="1529" w:bottom="0" w:left="1542" w:header="0" w:footer="0" w:gutter="0"/>
          <w:pgNumType/>
          <w:cols w:num="1" w:space="720"/>
          <w:docGrid w:linePitch="312" w:charSpace="0"/>
        </w:sectPr>
      </w:pPr>
    </w:p>
    <w:p>
      <w:pPr>
        <w:spacing w:before="214" w:line="502" w:lineRule="exact"/>
        <w:ind w:left="1982"/>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pacing w:val="-20"/>
          <w:w w:val="93"/>
          <w:position w:val="-3"/>
          <w:sz w:val="44"/>
          <w:szCs w:val="44"/>
          <w:lang w:eastAsia="zh-CN"/>
        </w:rPr>
        <w:t>新乡市</w:t>
      </w:r>
      <w:r>
        <w:rPr>
          <w:rFonts w:ascii="方正小标宋简体" w:eastAsia="方正小标宋简体" w:cs="方正小标宋简体" w:hAnsi="方正小标宋简体" w:hint="eastAsia"/>
          <w:spacing w:val="-20"/>
          <w:w w:val="93"/>
          <w:position w:val="-3"/>
          <w:sz w:val="44"/>
          <w:szCs w:val="44"/>
        </w:rPr>
        <w:t>紧密型县域医共体</w:t>
      </w:r>
    </w:p>
    <w:p>
      <w:pPr>
        <w:spacing w:before="98" w:line="502" w:lineRule="exact"/>
        <w:ind w:left="1327"/>
        <w:outlineLvl w:val="0"/>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pacing w:val="-20"/>
          <w:w w:val="96"/>
          <w:position w:val="-2"/>
          <w:sz w:val="44"/>
          <w:szCs w:val="44"/>
        </w:rPr>
        <w:t>医疗保障管理工作</w:t>
      </w:r>
      <w:r>
        <w:rPr>
          <w:rFonts w:ascii="方正小标宋简体" w:eastAsia="方正小标宋简体" w:cs="方正小标宋简体" w:hAnsi="方正小标宋简体" w:hint="eastAsia"/>
          <w:spacing w:val="-20"/>
          <w:w w:val="96"/>
          <w:position w:val="-2"/>
          <w:sz w:val="44"/>
          <w:szCs w:val="44"/>
          <w:lang w:eastAsia="zh-CN"/>
        </w:rPr>
        <w:t>实施</w:t>
      </w:r>
      <w:r>
        <w:rPr>
          <w:rFonts w:ascii="方正小标宋简体" w:eastAsia="方正小标宋简体" w:cs="方正小标宋简体" w:hAnsi="方正小标宋简体" w:hint="eastAsia"/>
          <w:spacing w:val="-20"/>
          <w:w w:val="96"/>
          <w:position w:val="-2"/>
          <w:sz w:val="44"/>
          <w:szCs w:val="44"/>
        </w:rPr>
        <w:t>方案 (试行)</w:t>
      </w:r>
    </w:p>
    <w:p>
      <w:pPr>
        <w:pStyle w:val="15"/>
        <w:spacing w:line="324" w:lineRule="auto"/>
      </w:pPr>
    </w:p>
    <w:p>
      <w:pPr>
        <w:pStyle w:val="15"/>
        <w:spacing w:line="324" w:lineRule="auto"/>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为做好我市紧密型县域医共体（ 以下简称医共体）医疗保障管理工作，根据《河南省紧密型县域医共体建设操作规范手册（试行版）》（豫改办发〔2021〕10 号）、《河南省紧密型县域医共体医疗保障管理指导意见（试行）》（豫医保〔2022〕3 号）、《河南省人民政府办公厅关于印发河南省医疗服务体系建设三年行动计划（2023-2025）的通知》（豫政办〔2023〕31号）制定本工作方案。</w:t>
      </w:r>
    </w:p>
    <w:p>
      <w:pPr>
        <w:spacing w:before="107" w:line="228" w:lineRule="auto"/>
        <w:ind w:left="651"/>
        <w:outlineLvl w:val="1"/>
        <w:rPr>
          <w:rFonts w:ascii="黑体" w:eastAsia="黑体" w:cs="黑体" w:hAnsi="黑体" w:hint="eastAsia"/>
          <w:sz w:val="32"/>
          <w:szCs w:val="32"/>
        </w:rPr>
      </w:pPr>
      <w:r>
        <w:rPr>
          <w:rFonts w:ascii="黑体" w:eastAsia="黑体" w:cs="黑体" w:hAnsi="黑体" w:hint="eastAsia"/>
          <w:b/>
          <w:bCs/>
          <w:spacing w:val="5"/>
          <w:sz w:val="32"/>
          <w:szCs w:val="32"/>
        </w:rPr>
        <w:t>一、</w:t>
      </w:r>
      <w:r>
        <w:rPr>
          <w:rFonts w:ascii="黑体" w:eastAsia="黑体" w:cs="黑体" w:hAnsi="黑体" w:hint="eastAsia"/>
          <w:spacing w:val="5"/>
          <w:sz w:val="32"/>
          <w:szCs w:val="32"/>
        </w:rPr>
        <w:t>指导思想</w:t>
      </w:r>
    </w:p>
    <w:p>
      <w:pPr>
        <w:spacing w:before="246" w:line="370" w:lineRule="auto"/>
        <w:ind w:right="79" w:firstLine="688"/>
        <w:jc w:val="both"/>
        <w:rPr>
          <w:rFonts w:ascii="仿宋_GB2312" w:eastAsia="仿宋_GB2312" w:cs="仿宋_GB2312" w:hAnsi="仿宋_GB2312" w:hint="eastAsia"/>
          <w:sz w:val="32"/>
          <w:szCs w:val="32"/>
        </w:rPr>
      </w:pPr>
      <w:r>
        <w:rPr>
          <w:rFonts w:ascii="仿宋_GB2312" w:eastAsia="仿宋_GB2312" w:cs="仿宋_GB2312" w:hAnsi="仿宋_GB2312" w:hint="eastAsia"/>
          <w:spacing w:val="5"/>
          <w:sz w:val="32"/>
          <w:szCs w:val="32"/>
        </w:rPr>
        <w:t>以习近平新时代中国特色社会主义思想为指导，</w:t>
      </w:r>
      <w:r>
        <w:rPr>
          <w:rFonts w:ascii="仿宋_GB2312" w:eastAsia="仿宋_GB2312" w:cs="仿宋_GB2312" w:hAnsi="仿宋_GB2312" w:hint="eastAsia"/>
          <w:spacing w:val="5"/>
          <w:sz w:val="32"/>
          <w:szCs w:val="32"/>
          <w:lang w:eastAsia="zh-CN"/>
        </w:rPr>
        <w:t>坚持以人民健康为中心，深入推进县域医疗卫生服务供给侧结构性改革，</w:t>
      </w:r>
      <w:r>
        <w:rPr>
          <w:rFonts w:ascii="仿宋_GB2312" w:eastAsia="仿宋_GB2312" w:cs="仿宋_GB2312" w:hAnsi="仿宋_GB2312" w:hint="eastAsia"/>
          <w:spacing w:val="4"/>
          <w:sz w:val="32"/>
          <w:szCs w:val="32"/>
        </w:rPr>
        <w:t>按照“</w:t>
      </w:r>
      <w:r>
        <w:rPr>
          <w:rFonts w:ascii="仿宋_GB2312" w:eastAsia="仿宋_GB2312" w:cs="仿宋_GB2312" w:hAnsi="仿宋_GB2312" w:hint="eastAsia"/>
          <w:spacing w:val="-115"/>
          <w:sz w:val="32"/>
          <w:szCs w:val="32"/>
        </w:rPr>
        <w:t xml:space="preserve"> </w:t>
      </w:r>
      <w:r>
        <w:rPr>
          <w:rFonts w:ascii="仿宋_GB2312" w:eastAsia="仿宋_GB2312" w:cs="仿宋_GB2312" w:hAnsi="仿宋_GB2312" w:hint="eastAsia"/>
          <w:spacing w:val="4"/>
          <w:sz w:val="32"/>
          <w:szCs w:val="32"/>
        </w:rPr>
        <w:t>三医协同发展和治理”要</w:t>
      </w:r>
      <w:r>
        <w:rPr>
          <w:rFonts w:ascii="仿宋_GB2312" w:eastAsia="仿宋_GB2312" w:cs="仿宋_GB2312" w:hAnsi="仿宋_GB2312" w:hint="eastAsia"/>
          <w:spacing w:val="5"/>
          <w:sz w:val="32"/>
          <w:szCs w:val="32"/>
        </w:rPr>
        <w:t>求，发挥医保支付在规范医疗服务行为、调节资源配置中的杠杆作用，推动优质医疗资源下沉，提升基层医疗服务能力，提高医</w:t>
      </w:r>
      <w:r>
        <w:rPr>
          <w:rFonts w:ascii="仿宋_GB2312" w:eastAsia="仿宋_GB2312" w:cs="仿宋_GB2312" w:hAnsi="仿宋_GB2312" w:hint="eastAsia"/>
          <w:sz w:val="32"/>
          <w:szCs w:val="32"/>
        </w:rPr>
        <w:t>保基金使用效能，防范化解医保基金运行风险,实现医疗健</w:t>
      </w:r>
      <w:r>
        <w:rPr>
          <w:rFonts w:ascii="仿宋_GB2312" w:eastAsia="仿宋_GB2312" w:cs="仿宋_GB2312" w:hAnsi="仿宋_GB2312" w:hint="eastAsia"/>
          <w:spacing w:val="-1"/>
          <w:sz w:val="32"/>
          <w:szCs w:val="32"/>
        </w:rPr>
        <w:t>康服务</w:t>
      </w:r>
      <w:r>
        <w:rPr>
          <w:rFonts w:ascii="仿宋_GB2312" w:eastAsia="仿宋_GB2312" w:cs="仿宋_GB2312" w:hAnsi="仿宋_GB2312" w:hint="eastAsia"/>
          <w:sz w:val="32"/>
          <w:szCs w:val="32"/>
        </w:rPr>
        <w:t>从“</w:t>
      </w:r>
      <w:r>
        <w:rPr>
          <w:rFonts w:ascii="仿宋_GB2312" w:eastAsia="仿宋_GB2312" w:cs="仿宋_GB2312" w:hAnsi="仿宋_GB2312" w:hint="eastAsia"/>
          <w:spacing w:val="-87"/>
          <w:sz w:val="32"/>
          <w:szCs w:val="32"/>
        </w:rPr>
        <w:t xml:space="preserve"> </w:t>
      </w:r>
      <w:r>
        <w:rPr>
          <w:rFonts w:ascii="仿宋_GB2312" w:eastAsia="仿宋_GB2312" w:cs="仿宋_GB2312" w:hAnsi="仿宋_GB2312" w:hint="eastAsia"/>
          <w:sz w:val="32"/>
          <w:szCs w:val="32"/>
        </w:rPr>
        <w:t>以治病为中心</w:t>
      </w:r>
      <w:r>
        <w:rPr>
          <w:rFonts w:ascii="仿宋_GB2312" w:eastAsia="仿宋_GB2312" w:cs="仿宋_GB2312" w:hAnsi="仿宋_GB2312" w:hint="eastAsia"/>
          <w:spacing w:val="-112"/>
          <w:sz w:val="32"/>
          <w:szCs w:val="32"/>
        </w:rPr>
        <w:t xml:space="preserve"> </w:t>
      </w:r>
      <w:r>
        <w:rPr>
          <w:rFonts w:ascii="仿宋_GB2312" w:eastAsia="仿宋_GB2312" w:cs="仿宋_GB2312" w:hAnsi="仿宋_GB2312" w:hint="eastAsia"/>
          <w:sz w:val="32"/>
          <w:szCs w:val="32"/>
        </w:rPr>
        <w:t>”向“</w:t>
      </w:r>
      <w:r>
        <w:rPr>
          <w:rFonts w:ascii="仿宋_GB2312" w:eastAsia="仿宋_GB2312" w:cs="仿宋_GB2312" w:hAnsi="仿宋_GB2312" w:hint="eastAsia"/>
          <w:spacing w:val="-99"/>
          <w:sz w:val="32"/>
          <w:szCs w:val="32"/>
        </w:rPr>
        <w:t xml:space="preserve"> </w:t>
      </w:r>
      <w:r>
        <w:rPr>
          <w:rFonts w:ascii="仿宋_GB2312" w:eastAsia="仿宋_GB2312" w:cs="仿宋_GB2312" w:hAnsi="仿宋_GB2312" w:hint="eastAsia"/>
          <w:sz w:val="32"/>
          <w:szCs w:val="32"/>
        </w:rPr>
        <w:t>以人民健康为中心</w:t>
      </w:r>
      <w:r>
        <w:rPr>
          <w:rFonts w:ascii="仿宋_GB2312" w:eastAsia="仿宋_GB2312" w:cs="仿宋_GB2312" w:hAnsi="仿宋_GB2312" w:hint="eastAsia"/>
          <w:spacing w:val="-113"/>
          <w:sz w:val="32"/>
          <w:szCs w:val="32"/>
        </w:rPr>
        <w:t xml:space="preserve"> </w:t>
      </w:r>
      <w:r>
        <w:rPr>
          <w:rFonts w:ascii="仿宋_GB2312" w:eastAsia="仿宋_GB2312" w:cs="仿宋_GB2312" w:hAnsi="仿宋_GB2312" w:hint="eastAsia"/>
          <w:sz w:val="32"/>
          <w:szCs w:val="32"/>
        </w:rPr>
        <w:t>”转变。</w:t>
      </w:r>
    </w:p>
    <w:p>
      <w:pPr>
        <w:spacing w:line="414" w:lineRule="exact"/>
        <w:ind w:left="652"/>
        <w:outlineLvl w:val="1"/>
        <w:rPr>
          <w:rFonts w:ascii="黑体" w:eastAsia="黑体" w:cs="黑体" w:hAnsi="黑体"/>
          <w:sz w:val="32"/>
          <w:szCs w:val="32"/>
        </w:rPr>
      </w:pPr>
      <w:r>
        <w:rPr>
          <w:rFonts w:ascii="黑体" w:eastAsia="黑体" w:cs="黑体" w:hAnsi="黑体"/>
          <w:spacing w:val="6"/>
          <w:position w:val="1"/>
          <w:sz w:val="32"/>
          <w:szCs w:val="32"/>
        </w:rPr>
        <w:t>二、目标任务</w:t>
      </w:r>
    </w:p>
    <w:p>
      <w:pPr>
        <w:spacing w:before="233" w:line="370" w:lineRule="auto"/>
        <w:ind w:left="12" w:right="155" w:firstLine="636"/>
        <w:jc w:val="both"/>
        <w:rPr>
          <w:rFonts w:ascii="仿宋_GB2312" w:eastAsia="仿宋_GB2312" w:cs="仿宋_GB2312" w:hAnsi="仿宋_GB2312" w:hint="eastAsia"/>
          <w:spacing w:val="4"/>
          <w:sz w:val="32"/>
          <w:szCs w:val="32"/>
        </w:rPr>
      </w:pPr>
      <w:r>
        <w:rPr>
          <w:rFonts w:ascii="仿宋_GB2312" w:eastAsia="仿宋_GB2312" w:cs="仿宋_GB2312" w:hAnsi="仿宋_GB2312" w:hint="eastAsia"/>
          <w:spacing w:val="4"/>
          <w:sz w:val="32"/>
          <w:szCs w:val="32"/>
        </w:rPr>
        <w:t>健全完善医保支付制度和利益调控机制，提升基层医疗</w:t>
      </w:r>
      <w:r>
        <w:rPr>
          <w:rFonts w:ascii="仿宋_GB2312" w:eastAsia="仿宋_GB2312" w:cs="仿宋_GB2312" w:hAnsi="仿宋_GB2312" w:hint="eastAsia"/>
          <w:spacing w:val="3"/>
          <w:sz w:val="32"/>
          <w:szCs w:val="32"/>
        </w:rPr>
        <w:t>机构</w:t>
      </w:r>
      <w:r>
        <w:rPr>
          <w:rFonts w:ascii="仿宋_GB2312" w:eastAsia="仿宋_GB2312" w:cs="仿宋_GB2312" w:hAnsi="仿宋_GB2312" w:hint="eastAsia"/>
          <w:spacing w:val="10"/>
          <w:sz w:val="32"/>
          <w:szCs w:val="32"/>
        </w:rPr>
        <w:t>服务能力,助推形成“基层首诊、双向转诊、急</w:t>
      </w:r>
      <w:r>
        <w:rPr>
          <w:rFonts w:ascii="仿宋_GB2312" w:eastAsia="仿宋_GB2312" w:cs="仿宋_GB2312" w:hAnsi="仿宋_GB2312" w:hint="eastAsia"/>
          <w:spacing w:val="9"/>
          <w:sz w:val="32"/>
          <w:szCs w:val="32"/>
        </w:rPr>
        <w:t>慢分治、上下联</w:t>
      </w:r>
      <w:r>
        <w:rPr>
          <w:rFonts w:ascii="仿宋_GB2312" w:eastAsia="仿宋_GB2312" w:cs="仿宋_GB2312" w:hAnsi="仿宋_GB2312" w:hint="eastAsia"/>
          <w:spacing w:val="2"/>
          <w:sz w:val="32"/>
          <w:szCs w:val="32"/>
        </w:rPr>
        <w:t>动</w:t>
      </w:r>
      <w:r>
        <w:rPr>
          <w:rFonts w:ascii="仿宋_GB2312" w:eastAsia="仿宋_GB2312" w:cs="仿宋_GB2312" w:hAnsi="仿宋_GB2312" w:hint="eastAsia"/>
          <w:spacing w:val="-98"/>
          <w:sz w:val="32"/>
          <w:szCs w:val="32"/>
        </w:rPr>
        <w:t xml:space="preserve"> </w:t>
      </w:r>
      <w:r>
        <w:rPr>
          <w:rFonts w:ascii="仿宋_GB2312" w:eastAsia="仿宋_GB2312" w:cs="仿宋_GB2312" w:hAnsi="仿宋_GB2312" w:hint="eastAsia"/>
          <w:spacing w:val="2"/>
          <w:sz w:val="32"/>
          <w:szCs w:val="32"/>
        </w:rPr>
        <w:t>”的分级诊疗就医格局。坚持基本医保市级统筹，推进医保支</w:t>
      </w:r>
      <w:r>
        <w:rPr>
          <w:rFonts w:ascii="仿宋_GB2312" w:eastAsia="仿宋_GB2312" w:cs="仿宋_GB2312" w:hAnsi="仿宋_GB2312" w:hint="eastAsia"/>
          <w:spacing w:val="4"/>
          <w:sz w:val="32"/>
          <w:szCs w:val="32"/>
        </w:rPr>
        <w:t>付方式改革，实施医保基金总额预算管理，统一按月预付、统一年终清算、统一基金监管、统一年度考核，确保</w:t>
      </w:r>
    </w:p>
    <w:p>
      <w:pPr>
        <w:spacing w:before="233" w:line="370" w:lineRule="auto"/>
        <w:ind w:right="155"/>
        <w:jc w:val="both"/>
        <w:rPr>
          <w:rFonts w:ascii="仿宋_GB2312" w:eastAsia="仿宋_GB2312" w:cs="仿宋_GB2312" w:hAnsi="仿宋_GB2312" w:hint="eastAsia"/>
          <w:spacing w:val="4"/>
          <w:sz w:val="32"/>
          <w:szCs w:val="32"/>
        </w:rPr>
      </w:pPr>
    </w:p>
    <w:p>
      <w:pPr>
        <w:spacing w:before="233" w:line="370" w:lineRule="auto"/>
        <w:ind w:right="155"/>
        <w:jc w:val="both"/>
        <w:rPr>
          <w:rFonts w:ascii="仿宋_GB2312" w:eastAsia="仿宋_GB2312" w:cs="仿宋_GB2312" w:hAnsi="仿宋_GB2312" w:hint="eastAsia"/>
          <w:sz w:val="32"/>
          <w:szCs w:val="32"/>
        </w:rPr>
      </w:pPr>
      <w:r>
        <w:rPr>
          <w:rFonts w:ascii="仿宋_GB2312" w:eastAsia="仿宋_GB2312" w:cs="仿宋_GB2312" w:hAnsi="仿宋_GB2312" w:hint="eastAsia"/>
          <w:spacing w:val="4"/>
          <w:sz w:val="32"/>
          <w:szCs w:val="32"/>
        </w:rPr>
        <w:t>医疗服务水平不降低、服务质量有保障、群众就医负担不增加，切实维护医保基</w:t>
      </w:r>
      <w:r>
        <w:rPr>
          <w:rFonts w:ascii="仿宋_GB2312" w:eastAsia="仿宋_GB2312" w:cs="仿宋_GB2312" w:hAnsi="仿宋_GB2312" w:hint="eastAsia"/>
          <w:spacing w:val="7"/>
          <w:sz w:val="32"/>
          <w:szCs w:val="32"/>
        </w:rPr>
        <w:t>金安全和群众切身利益。</w:t>
      </w:r>
    </w:p>
    <w:p>
      <w:pPr>
        <w:spacing w:line="415" w:lineRule="exact"/>
        <w:ind w:left="659"/>
        <w:outlineLvl w:val="1"/>
        <w:rPr>
          <w:rFonts w:ascii="黑体" w:eastAsia="黑体" w:cs="黑体" w:hAnsi="黑体"/>
          <w:sz w:val="32"/>
          <w:szCs w:val="32"/>
        </w:rPr>
      </w:pPr>
      <w:r>
        <w:rPr>
          <w:rFonts w:ascii="黑体" w:eastAsia="黑体" w:cs="黑体" w:hAnsi="黑体"/>
          <w:spacing w:val="5"/>
          <w:position w:val="1"/>
          <w:sz w:val="32"/>
          <w:szCs w:val="32"/>
        </w:rPr>
        <w:t>三、基金预算</w:t>
      </w:r>
    </w:p>
    <w:p>
      <w:pPr>
        <w:spacing w:before="220" w:line="372" w:lineRule="auto"/>
        <w:ind w:firstLine="649"/>
        <w:jc w:val="both"/>
        <w:rPr>
          <w:rFonts w:ascii="仿宋_GB2312" w:eastAsia="仿宋_GB2312" w:cs="仿宋_GB2312" w:hAnsi="仿宋_GB2312" w:hint="eastAsia"/>
          <w:color w:val="auto"/>
          <w:sz w:val="32"/>
          <w:szCs w:val="32"/>
        </w:rPr>
      </w:pPr>
      <w:r>
        <w:rPr>
          <w:rFonts w:ascii="仿宋_GB2312" w:eastAsia="仿宋_GB2312" w:cs="仿宋_GB2312" w:hAnsi="仿宋_GB2312" w:hint="eastAsia"/>
          <w:color w:val="auto"/>
          <w:spacing w:val="2"/>
          <w:sz w:val="32"/>
          <w:szCs w:val="32"/>
        </w:rPr>
        <w:t>按照“</w:t>
      </w:r>
      <w:r>
        <w:rPr>
          <w:rFonts w:ascii="仿宋_GB2312" w:eastAsia="仿宋_GB2312" w:cs="仿宋_GB2312" w:hAnsi="仿宋_GB2312" w:hint="eastAsia"/>
          <w:color w:val="auto"/>
          <w:spacing w:val="-98"/>
          <w:sz w:val="32"/>
          <w:szCs w:val="32"/>
        </w:rPr>
        <w:t xml:space="preserve"> </w:t>
      </w:r>
      <w:r>
        <w:rPr>
          <w:rFonts w:ascii="仿宋_GB2312" w:eastAsia="仿宋_GB2312" w:cs="仿宋_GB2312" w:hAnsi="仿宋_GB2312" w:hint="eastAsia"/>
          <w:color w:val="auto"/>
          <w:spacing w:val="2"/>
          <w:sz w:val="32"/>
          <w:szCs w:val="32"/>
        </w:rPr>
        <w:t>以收定支、收支平衡、略有结余”的原则</w:t>
      </w:r>
      <w:r>
        <w:rPr>
          <w:rFonts w:ascii="仿宋_GB2312" w:eastAsia="仿宋_GB2312" w:cs="仿宋_GB2312" w:hAnsi="仿宋_GB2312" w:hint="eastAsia"/>
          <w:color w:val="auto"/>
          <w:spacing w:val="1"/>
          <w:sz w:val="32"/>
          <w:szCs w:val="32"/>
        </w:rPr>
        <w:t>，科学编制</w:t>
      </w:r>
      <w:r>
        <w:rPr>
          <w:rFonts w:ascii="仿宋_GB2312" w:eastAsia="仿宋_GB2312" w:cs="仿宋_GB2312" w:hAnsi="仿宋_GB2312" w:hint="eastAsia"/>
          <w:color w:val="auto"/>
          <w:spacing w:val="5"/>
          <w:sz w:val="32"/>
          <w:szCs w:val="32"/>
        </w:rPr>
        <w:t>基金支出预算。在全面实施总额预算管理的基础</w:t>
      </w:r>
      <w:r>
        <w:rPr>
          <w:rFonts w:ascii="仿宋_GB2312" w:eastAsia="仿宋_GB2312" w:cs="仿宋_GB2312" w:hAnsi="仿宋_GB2312" w:hint="eastAsia"/>
          <w:color w:val="auto"/>
          <w:spacing w:val="4"/>
          <w:sz w:val="32"/>
          <w:szCs w:val="32"/>
        </w:rPr>
        <w:t>上，以县域内城</w:t>
      </w:r>
      <w:r>
        <w:rPr>
          <w:rFonts w:ascii="仿宋_GB2312" w:eastAsia="仿宋_GB2312" w:cs="仿宋_GB2312" w:hAnsi="仿宋_GB2312" w:hint="eastAsia"/>
          <w:color w:val="auto"/>
          <w:spacing w:val="17"/>
          <w:sz w:val="32"/>
          <w:szCs w:val="32"/>
        </w:rPr>
        <w:t>乡居民基本医保当年筹资总额为基</w:t>
      </w:r>
      <w:r>
        <w:rPr>
          <w:rFonts w:ascii="仿宋_GB2312" w:eastAsia="仿宋_GB2312" w:cs="仿宋_GB2312" w:hAnsi="仿宋_GB2312" w:hint="eastAsia"/>
          <w:color w:val="auto"/>
          <w:spacing w:val="2"/>
          <w:sz w:val="32"/>
          <w:szCs w:val="32"/>
        </w:rPr>
        <w:t>数,扣除大病保险基金和5%左右的风险储备金后，按医共体覆盖参保居民数量,综合考虑各医共体统筹基金历史实际支出等因素及其权重，合理确定年预分额度,打包预算给医共体（其中5%为质量保证金，与年度考核挂钩拨付）</w:t>
      </w:r>
      <w:r>
        <w:rPr>
          <w:rFonts w:ascii="仿宋_GB2312" w:eastAsia="仿宋_GB2312" w:cs="仿宋_GB2312" w:hAnsi="仿宋_GB2312" w:hint="eastAsia"/>
          <w:color w:val="auto"/>
          <w:spacing w:val="2"/>
          <w:sz w:val="32"/>
          <w:szCs w:val="32"/>
          <w:lang w:eastAsia="zh-CN"/>
        </w:rPr>
        <w:t>。</w:t>
      </w:r>
      <w:r>
        <w:rPr>
          <w:rFonts w:ascii="仿宋_GB2312" w:eastAsia="仿宋_GB2312" w:cs="仿宋_GB2312" w:hAnsi="仿宋_GB2312" w:hint="eastAsia"/>
          <w:color w:val="auto"/>
          <w:spacing w:val="2"/>
          <w:sz w:val="32"/>
          <w:szCs w:val="32"/>
        </w:rPr>
        <w:t>市、县两级医保经办机构和医共体（牵头医疗机构）共同做好医共体总额预算工作，县级医保经办机构和医共体（牵头医疗机构）共同做好县域内医保结算工作，县域外医疗机构就医发生的医保费用支出由医保经办机构直接结算。结合按</w:t>
      </w:r>
      <w:r>
        <w:rPr>
          <w:rFonts w:ascii="仿宋_GB2312" w:eastAsia="仿宋_GB2312" w:cs="仿宋_GB2312" w:hAnsi="仿宋_GB2312" w:hint="eastAsia"/>
          <w:color w:val="auto"/>
          <w:spacing w:val="2"/>
          <w:sz w:val="32"/>
          <w:szCs w:val="32"/>
          <w:lang w:eastAsia="zh-CN"/>
        </w:rPr>
        <w:t>病种分值</w:t>
      </w:r>
      <w:r>
        <w:rPr>
          <w:rFonts w:ascii="仿宋_GB2312" w:eastAsia="仿宋_GB2312" w:cs="仿宋_GB2312" w:hAnsi="仿宋_GB2312" w:hint="eastAsia"/>
          <w:color w:val="auto"/>
          <w:spacing w:val="2"/>
          <w:sz w:val="32"/>
          <w:szCs w:val="32"/>
        </w:rPr>
        <w:t>（</w:t>
      </w:r>
      <w:r>
        <w:rPr>
          <w:rFonts w:ascii="仿宋_GB2312" w:eastAsia="仿宋_GB2312" w:cs="仿宋_GB2312" w:hAnsi="仿宋_GB2312" w:hint="eastAsia"/>
          <w:color w:val="auto"/>
          <w:spacing w:val="2"/>
          <w:sz w:val="32"/>
          <w:szCs w:val="32"/>
          <w:lang w:val="en-US" w:eastAsia="zh-CN"/>
        </w:rPr>
        <w:t>DIP</w:t>
      </w:r>
      <w:r>
        <w:rPr>
          <w:rFonts w:ascii="仿宋_GB2312" w:eastAsia="仿宋_GB2312" w:cs="仿宋_GB2312" w:hAnsi="仿宋_GB2312" w:hint="eastAsia"/>
          <w:color w:val="auto"/>
          <w:spacing w:val="2"/>
          <w:sz w:val="32"/>
          <w:szCs w:val="32"/>
        </w:rPr>
        <w:t>）等支付方式执行情况，</w:t>
      </w:r>
      <w:r>
        <w:rPr>
          <w:rFonts w:ascii="仿宋_GB2312" w:eastAsia="仿宋_GB2312" w:cs="仿宋_GB2312" w:hAnsi="仿宋_GB2312" w:hint="eastAsia"/>
          <w:color w:val="auto"/>
          <w:spacing w:val="16"/>
          <w:sz w:val="32"/>
          <w:szCs w:val="32"/>
        </w:rPr>
        <w:t>对医共体实行年初</w:t>
      </w:r>
      <w:r>
        <w:rPr>
          <w:rFonts w:ascii="仿宋_GB2312" w:eastAsia="仿宋_GB2312" w:cs="仿宋_GB2312" w:hAnsi="仿宋_GB2312" w:hint="eastAsia"/>
          <w:color w:val="auto"/>
          <w:spacing w:val="11"/>
          <w:sz w:val="32"/>
          <w:szCs w:val="32"/>
        </w:rPr>
        <w:t>预算、按月预付、季度评估、年终清算。统筹深化</w:t>
      </w:r>
      <w:r>
        <w:rPr>
          <w:rFonts w:ascii="仿宋_GB2312" w:eastAsia="仿宋_GB2312" w:cs="仿宋_GB2312" w:hAnsi="仿宋_GB2312" w:hint="eastAsia"/>
          <w:color w:val="auto"/>
          <w:spacing w:val="11"/>
          <w:sz w:val="32"/>
          <w:szCs w:val="32"/>
          <w:lang w:eastAsia="zh-CN"/>
        </w:rPr>
        <w:t>以</w:t>
      </w:r>
      <w:r>
        <w:rPr>
          <w:rFonts w:ascii="仿宋_GB2312" w:eastAsia="仿宋_GB2312" w:cs="仿宋_GB2312" w:hAnsi="仿宋_GB2312" w:hint="eastAsia"/>
          <w:color w:val="auto"/>
          <w:sz w:val="32"/>
          <w:szCs w:val="32"/>
          <w:lang w:val="en-US" w:eastAsia="zh-CN"/>
        </w:rPr>
        <w:t>DIP支付改革为主的</w:t>
      </w:r>
      <w:r>
        <w:rPr>
          <w:rFonts w:ascii="仿宋_GB2312" w:eastAsia="仿宋_GB2312" w:cs="仿宋_GB2312" w:hAnsi="仿宋_GB2312" w:hint="eastAsia"/>
          <w:color w:val="auto"/>
          <w:spacing w:val="10"/>
          <w:sz w:val="32"/>
          <w:szCs w:val="32"/>
        </w:rPr>
        <w:t>多元复合式医保支付方式改革。</w:t>
      </w:r>
      <w:r>
        <w:rPr>
          <w:rFonts w:ascii="仿宋_GB2312" w:eastAsia="仿宋_GB2312" w:cs="仿宋_GB2312" w:hAnsi="仿宋_GB2312" w:hint="eastAsia"/>
          <w:color w:val="auto"/>
          <w:spacing w:val="16"/>
          <w:sz w:val="32"/>
          <w:szCs w:val="32"/>
        </w:rPr>
        <w:t>医共体覆盖区域参保人员当年基本医疗保险待遇费用从医共</w:t>
      </w:r>
      <w:r>
        <w:rPr>
          <w:rFonts w:ascii="仿宋_GB2312" w:eastAsia="仿宋_GB2312" w:cs="仿宋_GB2312" w:hAnsi="仿宋_GB2312" w:hint="eastAsia"/>
          <w:color w:val="auto"/>
          <w:spacing w:val="8"/>
          <w:sz w:val="32"/>
          <w:szCs w:val="32"/>
        </w:rPr>
        <w:t>体预算总额中列支。</w:t>
      </w:r>
    </w:p>
    <w:p>
      <w:pPr>
        <w:spacing w:before="101" w:line="228" w:lineRule="auto"/>
        <w:ind w:firstLineChars="200" w:firstLine="656"/>
        <w:outlineLvl w:val="1"/>
        <w:rPr>
          <w:rFonts w:ascii="黑体" w:eastAsia="黑体" w:cs="黑体" w:hAnsi="黑体"/>
          <w:color w:val="auto"/>
          <w:sz w:val="32"/>
          <w:szCs w:val="32"/>
        </w:rPr>
      </w:pPr>
      <w:r>
        <w:rPr>
          <w:rFonts w:ascii="黑体" w:eastAsia="黑体" w:cs="黑体" w:hAnsi="黑体"/>
          <w:color w:val="auto"/>
          <w:spacing w:val="4"/>
          <w:sz w:val="32"/>
          <w:szCs w:val="32"/>
        </w:rPr>
        <w:t>四、月度预付</w:t>
      </w:r>
    </w:p>
    <w:p>
      <w:pPr>
        <w:spacing w:before="244" w:line="370" w:lineRule="auto"/>
        <w:ind w:right="21" w:firstLine="661"/>
        <w:jc w:val="both"/>
        <w:rPr>
          <w:rFonts w:ascii="仿宋_GB2312" w:eastAsia="仿宋_GB2312" w:cs="仿宋_GB2312" w:hAnsi="仿宋_GB2312" w:hint="eastAsia"/>
          <w:color w:val="auto"/>
          <w:spacing w:val="6"/>
          <w:sz w:val="32"/>
          <w:szCs w:val="32"/>
        </w:rPr>
      </w:pPr>
      <w:r>
        <w:rPr>
          <w:rFonts w:ascii="仿宋_GB2312" w:eastAsia="仿宋_GB2312" w:cs="仿宋_GB2312" w:hAnsi="仿宋_GB2312" w:hint="eastAsia"/>
          <w:color w:val="auto"/>
          <w:spacing w:val="3"/>
          <w:sz w:val="32"/>
          <w:szCs w:val="32"/>
        </w:rPr>
        <w:t>市级医保经办机构按照相关规定，结合医共体医保基金年度</w:t>
      </w:r>
      <w:r>
        <w:rPr>
          <w:rFonts w:ascii="仿宋_GB2312" w:eastAsia="仿宋_GB2312" w:cs="仿宋_GB2312" w:hAnsi="仿宋_GB2312" w:hint="eastAsia"/>
          <w:color w:val="auto"/>
          <w:spacing w:val="5"/>
          <w:sz w:val="32"/>
          <w:szCs w:val="32"/>
        </w:rPr>
        <w:t>预算方案，按时将</w:t>
      </w:r>
      <w:r>
        <w:rPr>
          <w:rFonts w:ascii="仿宋_GB2312" w:eastAsia="仿宋_GB2312" w:cs="仿宋_GB2312" w:hAnsi="仿宋_GB2312" w:hint="eastAsia"/>
          <w:color w:val="auto"/>
          <w:spacing w:val="5"/>
          <w:sz w:val="32"/>
          <w:szCs w:val="32"/>
          <w:lang w:val="en-US" w:eastAsia="zh-CN"/>
        </w:rPr>
        <w:t>1</w:t>
      </w:r>
      <w:r>
        <w:rPr>
          <w:rFonts w:ascii="仿宋_GB2312" w:eastAsia="仿宋_GB2312" w:cs="仿宋_GB2312" w:hAnsi="仿宋_GB2312" w:hint="eastAsia"/>
          <w:color w:val="auto"/>
          <w:spacing w:val="5"/>
          <w:sz w:val="32"/>
          <w:szCs w:val="32"/>
        </w:rPr>
        <w:t>个月医保周转金拨付给县级医保经办机构。</w:t>
      </w:r>
      <w:r>
        <w:rPr>
          <w:rFonts w:ascii="仿宋_GB2312" w:eastAsia="仿宋_GB2312" w:cs="仿宋_GB2312" w:hAnsi="仿宋_GB2312" w:hint="eastAsia"/>
          <w:color w:val="auto"/>
          <w:spacing w:val="6"/>
          <w:sz w:val="32"/>
          <w:szCs w:val="32"/>
        </w:rPr>
        <w:t>县级医保经办机构原则上每月10日前，按预算将一个月的</w:t>
      </w:r>
    </w:p>
    <w:p>
      <w:pPr>
        <w:spacing w:before="244" w:line="370" w:lineRule="auto"/>
        <w:ind w:right="21"/>
        <w:jc w:val="both"/>
        <w:rPr>
          <w:rFonts w:ascii="仿宋_GB2312" w:eastAsia="仿宋_GB2312" w:cs="仿宋_GB2312" w:hAnsi="仿宋_GB2312" w:hint="eastAsia"/>
          <w:color w:val="auto"/>
          <w:spacing w:val="6"/>
          <w:sz w:val="32"/>
          <w:szCs w:val="32"/>
        </w:rPr>
      </w:pPr>
    </w:p>
    <w:p>
      <w:pPr>
        <w:spacing w:before="244" w:line="370" w:lineRule="auto"/>
        <w:ind w:right="21"/>
        <w:jc w:val="both"/>
        <w:rPr>
          <w:rFonts w:ascii="仿宋_GB2312" w:eastAsia="仿宋_GB2312" w:cs="仿宋_GB2312" w:hAnsi="仿宋_GB2312" w:hint="eastAsia"/>
          <w:color w:val="auto"/>
          <w:sz w:val="32"/>
          <w:szCs w:val="32"/>
        </w:rPr>
      </w:pPr>
      <w:r>
        <w:rPr>
          <w:rFonts w:ascii="仿宋_GB2312" w:eastAsia="仿宋_GB2312" w:cs="仿宋_GB2312" w:hAnsi="仿宋_GB2312" w:hint="eastAsia"/>
          <w:color w:val="auto"/>
          <w:spacing w:val="6"/>
          <w:sz w:val="32"/>
          <w:szCs w:val="32"/>
        </w:rPr>
        <w:t>城乡</w:t>
      </w:r>
      <w:r>
        <w:rPr>
          <w:rFonts w:ascii="仿宋_GB2312" w:eastAsia="仿宋_GB2312" w:cs="仿宋_GB2312" w:hAnsi="仿宋_GB2312" w:hint="eastAsia"/>
          <w:color w:val="auto"/>
          <w:spacing w:val="5"/>
          <w:sz w:val="32"/>
          <w:szCs w:val="32"/>
        </w:rPr>
        <w:t>居民医保基金拨付至医共体（牵头医疗机构）</w:t>
      </w:r>
      <w:r>
        <w:rPr>
          <w:rFonts w:ascii="仿宋_GB2312" w:eastAsia="仿宋_GB2312" w:cs="仿宋_GB2312" w:hAnsi="仿宋_GB2312" w:hint="eastAsia"/>
          <w:color w:val="auto"/>
          <w:spacing w:val="5"/>
          <w:sz w:val="32"/>
          <w:szCs w:val="32"/>
          <w:lang w:eastAsia="zh-CN"/>
        </w:rPr>
        <w:t>。</w:t>
      </w:r>
      <w:r>
        <w:rPr>
          <w:rFonts w:ascii="仿宋" w:eastAsia="仿宋" w:cs="仿宋" w:hAnsi="仿宋"/>
          <w:color w:val="auto"/>
          <w:spacing w:val="4"/>
          <w:sz w:val="32"/>
          <w:szCs w:val="32"/>
        </w:rPr>
        <w:t>医共体（</w:t>
      </w:r>
      <w:r>
        <w:rPr>
          <w:rFonts w:ascii="仿宋_GB2312" w:eastAsia="仿宋_GB2312" w:cs="仿宋_GB2312" w:hAnsi="仿宋_GB2312" w:hint="eastAsia"/>
          <w:color w:val="auto"/>
          <w:spacing w:val="4"/>
          <w:sz w:val="32"/>
          <w:szCs w:val="32"/>
        </w:rPr>
        <w:t>牵头医</w:t>
      </w:r>
      <w:r>
        <w:rPr>
          <w:rFonts w:ascii="仿宋_GB2312" w:eastAsia="仿宋_GB2312" w:cs="仿宋_GB2312" w:hAnsi="仿宋_GB2312" w:hint="eastAsia"/>
          <w:color w:val="auto"/>
          <w:spacing w:val="8"/>
          <w:sz w:val="32"/>
          <w:szCs w:val="32"/>
        </w:rPr>
        <w:t>疗机构）在基金到账10</w:t>
      </w:r>
      <w:r>
        <w:rPr>
          <w:rFonts w:ascii="仿宋_GB2312" w:eastAsia="仿宋_GB2312" w:cs="仿宋_GB2312" w:hAnsi="仿宋_GB2312" w:hint="eastAsia"/>
          <w:color w:val="auto"/>
          <w:spacing w:val="-60"/>
          <w:sz w:val="32"/>
          <w:szCs w:val="32"/>
        </w:rPr>
        <w:t xml:space="preserve"> </w:t>
      </w:r>
      <w:r>
        <w:rPr>
          <w:rFonts w:ascii="仿宋_GB2312" w:eastAsia="仿宋_GB2312" w:cs="仿宋_GB2312" w:hAnsi="仿宋_GB2312" w:hint="eastAsia"/>
          <w:color w:val="auto"/>
          <w:spacing w:val="8"/>
          <w:sz w:val="32"/>
          <w:szCs w:val="32"/>
        </w:rPr>
        <w:t>个工作日内按医共体内部预算标准完成</w:t>
      </w:r>
      <w:r>
        <w:rPr>
          <w:rFonts w:ascii="仿宋_GB2312" w:eastAsia="仿宋_GB2312" w:cs="仿宋_GB2312" w:hAnsi="仿宋_GB2312" w:hint="eastAsia"/>
          <w:color w:val="auto"/>
          <w:spacing w:val="3"/>
          <w:sz w:val="32"/>
          <w:szCs w:val="32"/>
        </w:rPr>
        <w:t>拨付。市级医保经办机构及时将县域内</w:t>
      </w:r>
      <w:r>
        <w:rPr>
          <w:rFonts w:ascii="仿宋_GB2312" w:eastAsia="仿宋_GB2312" w:cs="仿宋_GB2312" w:hAnsi="仿宋_GB2312" w:hint="eastAsia"/>
          <w:color w:val="auto"/>
          <w:spacing w:val="-50"/>
          <w:sz w:val="32"/>
          <w:szCs w:val="32"/>
          <w:lang w:val="en-US" w:eastAsia="zh-CN"/>
        </w:rPr>
        <w:t>DIP</w:t>
      </w:r>
      <w:r>
        <w:rPr>
          <w:rFonts w:ascii="仿宋_GB2312" w:eastAsia="仿宋_GB2312" w:cs="仿宋_GB2312" w:hAnsi="仿宋_GB2312" w:hint="eastAsia"/>
          <w:color w:val="auto"/>
          <w:spacing w:val="3"/>
          <w:sz w:val="32"/>
          <w:szCs w:val="32"/>
        </w:rPr>
        <w:t>付费医疗机构月结算</w:t>
      </w:r>
      <w:r>
        <w:rPr>
          <w:rFonts w:ascii="仿宋_GB2312" w:eastAsia="仿宋_GB2312" w:cs="仿宋_GB2312" w:hAnsi="仿宋_GB2312" w:hint="eastAsia"/>
          <w:color w:val="auto"/>
          <w:spacing w:val="5"/>
          <w:sz w:val="32"/>
          <w:szCs w:val="32"/>
        </w:rPr>
        <w:t>数据传递给县级医保经办机构，</w:t>
      </w:r>
      <w:r>
        <w:rPr>
          <w:rFonts w:ascii="仿宋_GB2312" w:eastAsia="仿宋_GB2312" w:cs="仿宋_GB2312" w:hAnsi="仿宋_GB2312" w:hint="eastAsia"/>
          <w:color w:val="auto"/>
          <w:spacing w:val="8"/>
          <w:sz w:val="32"/>
          <w:szCs w:val="32"/>
        </w:rPr>
        <w:t>县级医保经办机构于次月将上月度基金结算明细发送至医共体（牵头医疗机构）</w:t>
      </w:r>
      <w:r>
        <w:rPr>
          <w:rFonts w:ascii="仿宋_GB2312" w:eastAsia="仿宋_GB2312" w:cs="仿宋_GB2312" w:hAnsi="仿宋_GB2312" w:hint="eastAsia"/>
          <w:color w:val="auto"/>
          <w:spacing w:val="3"/>
          <w:sz w:val="32"/>
          <w:szCs w:val="32"/>
        </w:rPr>
        <w:t>。</w:t>
      </w:r>
    </w:p>
    <w:p>
      <w:pPr>
        <w:spacing w:line="417" w:lineRule="exact"/>
        <w:ind w:left="651"/>
        <w:outlineLvl w:val="1"/>
        <w:rPr>
          <w:rFonts w:ascii="黑体" w:eastAsia="黑体" w:cs="黑体" w:hAnsi="黑体"/>
          <w:color w:val="auto"/>
          <w:sz w:val="32"/>
          <w:szCs w:val="32"/>
        </w:rPr>
      </w:pPr>
      <w:r>
        <w:rPr>
          <w:rFonts w:ascii="黑体" w:eastAsia="黑体" w:cs="黑体" w:hAnsi="黑体"/>
          <w:color w:val="auto"/>
          <w:spacing w:val="6"/>
          <w:position w:val="1"/>
          <w:sz w:val="32"/>
          <w:szCs w:val="32"/>
        </w:rPr>
        <w:t>五、考核管理</w:t>
      </w:r>
    </w:p>
    <w:p>
      <w:pPr>
        <w:spacing w:before="222" w:line="372" w:lineRule="auto"/>
        <w:ind w:firstLine="651"/>
        <w:jc w:val="both"/>
        <w:rPr>
          <w:rFonts w:ascii="仿宋_GB2312" w:eastAsia="仿宋_GB2312" w:cs="仿宋_GB2312" w:hAnsi="仿宋_GB2312" w:hint="eastAsia"/>
          <w:color w:val="auto"/>
          <w:spacing w:val="4"/>
          <w:sz w:val="32"/>
          <w:szCs w:val="32"/>
        </w:rPr>
      </w:pPr>
      <w:r>
        <w:rPr>
          <w:rFonts w:ascii="仿宋_GB2312" w:eastAsia="仿宋_GB2312" w:cs="仿宋_GB2312" w:hAnsi="仿宋_GB2312" w:hint="eastAsia"/>
          <w:color w:val="auto"/>
          <w:spacing w:val="4"/>
          <w:sz w:val="32"/>
          <w:szCs w:val="32"/>
        </w:rPr>
        <w:t>年度结束后，在市级医疗保障行政部门</w:t>
      </w:r>
      <w:r>
        <w:rPr>
          <w:rFonts w:ascii="仿宋_GB2312" w:eastAsia="仿宋_GB2312" w:cs="仿宋_GB2312" w:hAnsi="仿宋_GB2312" w:hint="eastAsia"/>
          <w:color w:val="auto"/>
          <w:sz w:val="32"/>
          <w:szCs w:val="32"/>
          <w:lang w:eastAsia="zh-CN"/>
        </w:rPr>
        <w:t>联合卫健</w:t>
      </w:r>
      <w:r>
        <w:rPr>
          <w:rFonts w:ascii="仿宋_GB2312" w:eastAsia="仿宋_GB2312" w:cs="仿宋_GB2312" w:hAnsi="仿宋_GB2312" w:hint="eastAsia"/>
          <w:color w:val="auto"/>
          <w:sz w:val="32"/>
          <w:szCs w:val="32"/>
        </w:rPr>
        <w:t>、财政成立医共体</w:t>
      </w:r>
      <w:r>
        <w:rPr>
          <w:rFonts w:ascii="仿宋_GB2312" w:eastAsia="仿宋_GB2312" w:cs="仿宋_GB2312" w:hAnsi="仿宋_GB2312" w:hint="eastAsia"/>
          <w:color w:val="auto"/>
          <w:sz w:val="32"/>
          <w:szCs w:val="32"/>
          <w:lang w:eastAsia="zh-CN"/>
        </w:rPr>
        <w:t>评价</w:t>
      </w:r>
      <w:r>
        <w:rPr>
          <w:rFonts w:ascii="仿宋_GB2312" w:eastAsia="仿宋_GB2312" w:cs="仿宋_GB2312" w:hAnsi="仿宋_GB2312" w:hint="eastAsia"/>
          <w:color w:val="auto"/>
          <w:sz w:val="32"/>
          <w:szCs w:val="32"/>
        </w:rPr>
        <w:t>工作领导小组，统筹协调</w:t>
      </w:r>
      <w:r>
        <w:rPr>
          <w:rFonts w:ascii="仿宋_GB2312" w:eastAsia="仿宋_GB2312" w:cs="仿宋_GB2312" w:hAnsi="仿宋_GB2312" w:hint="eastAsia"/>
          <w:color w:val="auto"/>
          <w:sz w:val="32"/>
          <w:szCs w:val="32"/>
          <w:lang w:eastAsia="zh-CN"/>
        </w:rPr>
        <w:t>评价</w:t>
      </w:r>
      <w:r>
        <w:rPr>
          <w:rFonts w:ascii="仿宋_GB2312" w:eastAsia="仿宋_GB2312" w:cs="仿宋_GB2312" w:hAnsi="仿宋_GB2312" w:hint="eastAsia"/>
          <w:color w:val="auto"/>
          <w:sz w:val="32"/>
          <w:szCs w:val="32"/>
        </w:rPr>
        <w:t>工作。</w:t>
      </w:r>
      <w:r>
        <w:rPr>
          <w:rFonts w:ascii="仿宋_GB2312" w:eastAsia="仿宋_GB2312" w:cs="仿宋_GB2312" w:hAnsi="仿宋_GB2312" w:hint="eastAsia"/>
          <w:color w:val="auto"/>
          <w:spacing w:val="4"/>
          <w:sz w:val="32"/>
          <w:szCs w:val="32"/>
        </w:rPr>
        <w:t>市级</w:t>
      </w:r>
      <w:r>
        <w:rPr>
          <w:rFonts w:ascii="仿宋_GB2312" w:eastAsia="仿宋_GB2312" w:cs="仿宋_GB2312" w:hAnsi="仿宋_GB2312" w:hint="eastAsia"/>
          <w:color w:val="auto"/>
          <w:spacing w:val="3"/>
          <w:sz w:val="32"/>
          <w:szCs w:val="32"/>
        </w:rPr>
        <w:t>医保经</w:t>
      </w:r>
      <w:r>
        <w:rPr>
          <w:rFonts w:ascii="仿宋_GB2312" w:eastAsia="仿宋_GB2312" w:cs="仿宋_GB2312" w:hAnsi="仿宋_GB2312" w:hint="eastAsia"/>
          <w:color w:val="auto"/>
          <w:spacing w:val="5"/>
          <w:sz w:val="32"/>
          <w:szCs w:val="32"/>
        </w:rPr>
        <w:t>办机构组织市、县两级医保经办机构</w:t>
      </w:r>
      <w:r>
        <w:rPr>
          <w:rFonts w:ascii="仿宋_GB2312" w:eastAsia="仿宋_GB2312" w:cs="仿宋_GB2312" w:hAnsi="仿宋_GB2312" w:hint="eastAsia"/>
          <w:color w:val="auto"/>
          <w:sz w:val="32"/>
          <w:szCs w:val="32"/>
          <w:lang w:eastAsia="zh-CN"/>
        </w:rPr>
        <w:t>联合卫健</w:t>
      </w:r>
      <w:r>
        <w:rPr>
          <w:rFonts w:ascii="仿宋_GB2312" w:eastAsia="仿宋_GB2312" w:cs="仿宋_GB2312" w:hAnsi="仿宋_GB2312" w:hint="eastAsia"/>
          <w:color w:val="auto"/>
          <w:sz w:val="32"/>
          <w:szCs w:val="32"/>
        </w:rPr>
        <w:t>、财政</w:t>
      </w:r>
      <w:r>
        <w:rPr>
          <w:rFonts w:ascii="仿宋_GB2312" w:eastAsia="仿宋_GB2312" w:cs="仿宋_GB2312" w:hAnsi="仿宋_GB2312" w:hint="eastAsia"/>
          <w:color w:val="auto"/>
          <w:spacing w:val="5"/>
          <w:sz w:val="32"/>
          <w:szCs w:val="32"/>
        </w:rPr>
        <w:t>对医共体医</w:t>
      </w:r>
      <w:r>
        <w:rPr>
          <w:rFonts w:ascii="仿宋_GB2312" w:eastAsia="仿宋_GB2312" w:cs="仿宋_GB2312" w:hAnsi="仿宋_GB2312" w:hint="eastAsia"/>
          <w:color w:val="auto"/>
          <w:spacing w:val="4"/>
          <w:sz w:val="32"/>
          <w:szCs w:val="32"/>
        </w:rPr>
        <w:t>疗保障工作进行</w:t>
      </w:r>
      <w:r>
        <w:rPr>
          <w:rFonts w:ascii="仿宋_GB2312" w:eastAsia="仿宋_GB2312" w:cs="仿宋_GB2312" w:hAnsi="仿宋_GB2312" w:hint="eastAsia"/>
          <w:color w:val="auto"/>
          <w:spacing w:val="6"/>
          <w:sz w:val="32"/>
          <w:szCs w:val="32"/>
        </w:rPr>
        <w:t>年度考核。</w:t>
      </w:r>
      <w:r>
        <w:rPr>
          <w:rFonts w:ascii="仿宋_GB2312" w:eastAsia="仿宋_GB2312" w:cs="仿宋_GB2312" w:hAnsi="仿宋_GB2312" w:hint="eastAsia"/>
          <w:color w:val="auto"/>
          <w:sz w:val="32"/>
          <w:szCs w:val="32"/>
        </w:rPr>
        <w:t>年度考核围绕</w:t>
      </w:r>
      <w:r>
        <w:rPr>
          <w:rFonts w:ascii="仿宋_GB2312" w:eastAsia="仿宋_GB2312" w:cs="仿宋_GB2312" w:hAnsi="仿宋_GB2312" w:hint="eastAsia"/>
          <w:color w:val="auto"/>
          <w:sz w:val="32"/>
          <w:szCs w:val="32"/>
          <w:lang w:eastAsia="zh-CN"/>
        </w:rPr>
        <w:t>基金使用效率</w:t>
      </w:r>
      <w:r>
        <w:rPr>
          <w:rFonts w:ascii="仿宋_GB2312" w:eastAsia="仿宋_GB2312" w:cs="仿宋_GB2312" w:hAnsi="仿宋_GB2312" w:hint="eastAsia"/>
          <w:color w:val="auto"/>
          <w:sz w:val="32"/>
          <w:szCs w:val="32"/>
        </w:rPr>
        <w:t>、</w:t>
      </w:r>
      <w:r>
        <w:rPr>
          <w:rFonts w:ascii="仿宋_GB2312" w:eastAsia="仿宋_GB2312" w:cs="仿宋_GB2312" w:hAnsi="仿宋_GB2312" w:hint="eastAsia"/>
          <w:color w:val="auto"/>
          <w:sz w:val="32"/>
          <w:szCs w:val="32"/>
          <w:lang w:eastAsia="zh-CN"/>
        </w:rPr>
        <w:t>医疗服务质量与安全、患者负担与就医体验、资源下沉与分级诊疗、医保管理与改革协同等</w:t>
      </w:r>
      <w:r>
        <w:rPr>
          <w:rFonts w:ascii="仿宋_GB2312" w:eastAsia="仿宋_GB2312" w:cs="仿宋_GB2312" w:hAnsi="仿宋_GB2312" w:hint="eastAsia"/>
          <w:color w:val="auto"/>
          <w:sz w:val="32"/>
          <w:szCs w:val="32"/>
        </w:rPr>
        <w:t>方面合理设置考核指标。坚持“考核与付费”相结合的办法，将考核结果与质量保障金拨付、</w:t>
      </w:r>
      <w:r>
        <w:rPr>
          <w:rFonts w:ascii="仿宋_GB2312" w:eastAsia="仿宋_GB2312" w:cs="仿宋_GB2312" w:hAnsi="仿宋_GB2312" w:hint="eastAsia"/>
          <w:color w:val="auto"/>
          <w:spacing w:val="6"/>
          <w:sz w:val="32"/>
          <w:szCs w:val="32"/>
        </w:rPr>
        <w:t>医保费用年度清算和次年预分额</w:t>
      </w:r>
      <w:r>
        <w:rPr>
          <w:rFonts w:ascii="仿宋_GB2312" w:eastAsia="仿宋_GB2312" w:cs="仿宋_GB2312" w:hAnsi="仿宋_GB2312" w:hint="eastAsia"/>
          <w:color w:val="auto"/>
          <w:spacing w:val="5"/>
          <w:sz w:val="32"/>
          <w:szCs w:val="32"/>
        </w:rPr>
        <w:t>度确定相挂钩</w:t>
      </w:r>
      <w:r>
        <w:rPr>
          <w:rFonts w:ascii="仿宋_GB2312" w:eastAsia="仿宋_GB2312" w:cs="仿宋_GB2312" w:hAnsi="仿宋_GB2312" w:hint="eastAsia"/>
          <w:color w:val="auto"/>
          <w:spacing w:val="4"/>
          <w:sz w:val="32"/>
          <w:szCs w:val="32"/>
        </w:rPr>
        <w:t>。</w:t>
      </w:r>
    </w:p>
    <w:p>
      <w:pPr>
        <w:spacing w:line="417" w:lineRule="exact"/>
        <w:ind w:left="651"/>
        <w:outlineLvl w:val="1"/>
        <w:rPr>
          <w:rFonts w:ascii="黑体" w:eastAsia="黑体" w:cs="黑体" w:hAnsi="黑体"/>
          <w:color w:val="auto"/>
          <w:spacing w:val="6"/>
          <w:position w:val="1"/>
          <w:sz w:val="32"/>
          <w:szCs w:val="32"/>
          <w:lang w:val="en-US" w:eastAsia="zh-CN"/>
        </w:rPr>
      </w:pPr>
      <w:r>
        <w:rPr>
          <w:rFonts w:ascii="黑体" w:eastAsia="黑体" w:cs="黑体" w:hAnsi="黑体" w:hint="eastAsia"/>
          <w:color w:val="auto"/>
          <w:spacing w:val="6"/>
          <w:position w:val="1"/>
          <w:sz w:val="32"/>
          <w:szCs w:val="32"/>
          <w:lang w:eastAsia="zh-CN"/>
        </w:rPr>
        <w:t>六、</w:t>
      </w:r>
      <w:r>
        <w:rPr>
          <w:rFonts w:ascii="黑体" w:eastAsia="黑体" w:cs="黑体" w:hAnsi="黑体"/>
          <w:color w:val="auto"/>
          <w:spacing w:val="6"/>
          <w:position w:val="1"/>
          <w:sz w:val="32"/>
          <w:szCs w:val="32"/>
        </w:rPr>
        <w:t>年度清算</w:t>
      </w:r>
    </w:p>
    <w:p>
      <w:pPr>
        <w:spacing w:before="221" w:line="372" w:lineRule="auto"/>
        <w:ind w:right="97" w:firstLine="659"/>
        <w:jc w:val="both"/>
        <w:rPr>
          <w:rFonts w:ascii="仿宋_GB2312" w:eastAsia="仿宋_GB2312" w:cs="仿宋_GB2312" w:hAnsi="仿宋_GB2312" w:hint="eastAsia"/>
          <w:sz w:val="32"/>
          <w:szCs w:val="32"/>
        </w:rPr>
      </w:pPr>
      <w:r>
        <w:rPr>
          <w:rFonts w:ascii="仿宋_GB2312" w:eastAsia="仿宋_GB2312" w:cs="仿宋_GB2312" w:hAnsi="仿宋_GB2312" w:hint="eastAsia"/>
          <w:color w:val="auto"/>
          <w:spacing w:val="3"/>
          <w:sz w:val="32"/>
          <w:szCs w:val="32"/>
        </w:rPr>
        <w:t>市级医保经办机构制定医共体年度清算方案，年度考核后</w:t>
      </w:r>
      <w:r>
        <w:rPr>
          <w:rFonts w:ascii="仿宋_GB2312" w:eastAsia="仿宋_GB2312" w:cs="仿宋_GB2312" w:hAnsi="仿宋_GB2312" w:hint="eastAsia"/>
          <w:spacing w:val="3"/>
          <w:sz w:val="32"/>
          <w:szCs w:val="32"/>
        </w:rPr>
        <w:t>由</w:t>
      </w:r>
      <w:r>
        <w:rPr>
          <w:rFonts w:ascii="仿宋_GB2312" w:eastAsia="仿宋_GB2312" w:cs="仿宋_GB2312" w:hAnsi="仿宋_GB2312" w:hint="eastAsia"/>
          <w:spacing w:val="5"/>
          <w:sz w:val="32"/>
          <w:szCs w:val="32"/>
        </w:rPr>
        <w:t>市、县两级医保经办机构按照“结余留用、</w:t>
      </w:r>
      <w:r>
        <w:rPr>
          <w:rFonts w:ascii="仿宋_GB2312" w:eastAsia="仿宋_GB2312" w:cs="仿宋_GB2312" w:hAnsi="仿宋_GB2312" w:hint="eastAsia"/>
          <w:spacing w:val="4"/>
          <w:sz w:val="32"/>
          <w:szCs w:val="32"/>
        </w:rPr>
        <w:t>合理超支分担”原则</w:t>
      </w:r>
      <w:r>
        <w:rPr>
          <w:rFonts w:ascii="仿宋_GB2312" w:eastAsia="仿宋_GB2312" w:cs="仿宋_GB2312" w:hAnsi="仿宋_GB2312" w:hint="eastAsia"/>
          <w:spacing w:val="5"/>
          <w:sz w:val="32"/>
          <w:szCs w:val="32"/>
        </w:rPr>
        <w:t>共同进行清算，清算结果报市级医保行政部</w:t>
      </w:r>
      <w:r>
        <w:rPr>
          <w:rFonts w:ascii="仿宋_GB2312" w:eastAsia="仿宋_GB2312" w:cs="仿宋_GB2312" w:hAnsi="仿宋_GB2312" w:hint="eastAsia"/>
          <w:spacing w:val="4"/>
          <w:sz w:val="32"/>
          <w:szCs w:val="32"/>
        </w:rPr>
        <w:t>门确定。年度医保基</w:t>
      </w:r>
      <w:r>
        <w:rPr>
          <w:rFonts w:ascii="仿宋_GB2312" w:eastAsia="仿宋_GB2312" w:cs="仿宋_GB2312" w:hAnsi="仿宋_GB2312" w:hint="eastAsia"/>
          <w:spacing w:val="6"/>
          <w:sz w:val="32"/>
          <w:szCs w:val="32"/>
        </w:rPr>
        <w:t>金合理超支部分，由医共体（牵头医疗机构）承担</w:t>
      </w:r>
      <w:r>
        <w:rPr>
          <w:rFonts w:ascii="仿宋_GB2312" w:eastAsia="仿宋_GB2312" w:cs="仿宋_GB2312" w:hAnsi="仿宋_GB2312" w:hint="eastAsia"/>
          <w:spacing w:val="-56"/>
          <w:sz w:val="32"/>
          <w:szCs w:val="32"/>
        </w:rPr>
        <w:t xml:space="preserve"> </w:t>
      </w:r>
      <w:r>
        <w:rPr>
          <w:rFonts w:ascii="仿宋_GB2312" w:eastAsia="仿宋_GB2312" w:cs="仿宋_GB2312" w:hAnsi="仿宋_GB2312" w:hint="eastAsia"/>
          <w:spacing w:val="6"/>
          <w:sz w:val="32"/>
          <w:szCs w:val="32"/>
        </w:rPr>
        <w:t>70%</w:t>
      </w:r>
      <w:r>
        <w:rPr>
          <w:rFonts w:ascii="仿宋_GB2312" w:eastAsia="仿宋_GB2312" w:cs="仿宋_GB2312" w:hAnsi="仿宋_GB2312" w:hint="eastAsia"/>
          <w:spacing w:val="6"/>
          <w:sz w:val="32"/>
          <w:szCs w:val="32"/>
          <w:lang w:eastAsia="zh-CN"/>
        </w:rPr>
        <w:t>，</w:t>
      </w:r>
      <w:r>
        <w:rPr>
          <w:rFonts w:ascii="仿宋_GB2312" w:eastAsia="仿宋_GB2312" w:cs="仿宋_GB2312" w:hAnsi="仿宋_GB2312" w:hint="eastAsia"/>
          <w:spacing w:val="6"/>
          <w:sz w:val="32"/>
          <w:szCs w:val="32"/>
        </w:rPr>
        <w:t>医保</w:t>
      </w:r>
      <w:r>
        <w:rPr>
          <w:rFonts w:ascii="仿宋_GB2312" w:eastAsia="仿宋_GB2312" w:cs="仿宋_GB2312" w:hAnsi="仿宋_GB2312" w:hint="eastAsia"/>
          <w:spacing w:val="11"/>
          <w:sz w:val="32"/>
          <w:szCs w:val="32"/>
        </w:rPr>
        <w:t>基金分担</w:t>
      </w:r>
      <w:r>
        <w:rPr>
          <w:rFonts w:ascii="仿宋_GB2312" w:eastAsia="仿宋_GB2312" w:cs="仿宋_GB2312" w:hAnsi="仿宋_GB2312" w:hint="eastAsia"/>
          <w:spacing w:val="-56"/>
          <w:sz w:val="32"/>
          <w:szCs w:val="32"/>
        </w:rPr>
        <w:t xml:space="preserve"> </w:t>
      </w:r>
      <w:r>
        <w:rPr>
          <w:rFonts w:ascii="仿宋_GB2312" w:eastAsia="仿宋_GB2312" w:cs="仿宋_GB2312" w:hAnsi="仿宋_GB2312" w:hint="eastAsia"/>
          <w:spacing w:val="11"/>
          <w:sz w:val="32"/>
          <w:szCs w:val="32"/>
        </w:rPr>
        <w:t>30%。医保基金分担部分从风险储备金中列支</w:t>
      </w:r>
      <w:r>
        <w:rPr>
          <w:rFonts w:ascii="仿宋_GB2312" w:eastAsia="仿宋_GB2312" w:cs="仿宋_GB2312" w:hAnsi="仿宋_GB2312" w:hint="eastAsia"/>
          <w:spacing w:val="11"/>
          <w:sz w:val="32"/>
          <w:szCs w:val="32"/>
          <w:lang w:eastAsia="zh-CN"/>
        </w:rPr>
        <w:t>，</w:t>
      </w:r>
      <w:r>
        <w:rPr>
          <w:rFonts w:ascii="仿宋_GB2312" w:eastAsia="仿宋_GB2312" w:cs="仿宋_GB2312" w:hAnsi="仿宋_GB2312" w:hint="eastAsia"/>
          <w:spacing w:val="11"/>
          <w:sz w:val="32"/>
          <w:szCs w:val="32"/>
        </w:rPr>
        <w:t>最高</w:t>
      </w:r>
      <w:r>
        <w:rPr>
          <w:rFonts w:ascii="仿宋_GB2312" w:eastAsia="仿宋_GB2312" w:cs="仿宋_GB2312" w:hAnsi="仿宋_GB2312" w:hint="eastAsia"/>
          <w:spacing w:val="5"/>
          <w:sz w:val="32"/>
          <w:szCs w:val="32"/>
        </w:rPr>
        <w:t>不超过当年风险储备金。对符合规定的结余</w:t>
      </w:r>
      <w:r>
        <w:rPr>
          <w:rFonts w:ascii="仿宋_GB2312" w:eastAsia="仿宋_GB2312" w:cs="仿宋_GB2312" w:hAnsi="仿宋_GB2312" w:hint="eastAsia"/>
          <w:spacing w:val="4"/>
          <w:sz w:val="32"/>
          <w:szCs w:val="32"/>
        </w:rPr>
        <w:t>留用资金，年度清算</w:t>
      </w:r>
      <w:r>
        <w:rPr>
          <w:rFonts w:ascii="仿宋_GB2312" w:eastAsia="仿宋_GB2312" w:cs="仿宋_GB2312" w:hAnsi="仿宋_GB2312" w:hint="eastAsia"/>
          <w:spacing w:val="8"/>
          <w:sz w:val="32"/>
          <w:szCs w:val="32"/>
        </w:rPr>
        <w:t>后拨付到医共体（牵头医疗机构</w:t>
      </w:r>
      <w:r>
        <w:rPr>
          <w:rFonts w:ascii="仿宋_GB2312" w:eastAsia="仿宋_GB2312" w:cs="仿宋_GB2312" w:hAnsi="仿宋_GB2312" w:hint="eastAsia"/>
          <w:spacing w:val="-75"/>
          <w:sz w:val="32"/>
          <w:szCs w:val="32"/>
        </w:rPr>
        <w:t>），</w:t>
      </w:r>
      <w:r>
        <w:rPr>
          <w:rFonts w:ascii="仿宋_GB2312" w:eastAsia="仿宋_GB2312" w:cs="仿宋_GB2312" w:hAnsi="仿宋_GB2312" w:hint="eastAsia"/>
          <w:spacing w:val="-84"/>
          <w:sz w:val="32"/>
          <w:szCs w:val="32"/>
        </w:rPr>
        <w:t xml:space="preserve"> </w:t>
      </w:r>
      <w:r>
        <w:rPr>
          <w:rFonts w:ascii="仿宋_GB2312" w:eastAsia="仿宋_GB2312" w:cs="仿宋_GB2312" w:hAnsi="仿宋_GB2312" w:hint="eastAsia"/>
          <w:spacing w:val="8"/>
          <w:sz w:val="32"/>
          <w:szCs w:val="32"/>
        </w:rPr>
        <w:t>由医共体（牵头医疗</w:t>
      </w:r>
      <w:r>
        <w:rPr>
          <w:rFonts w:ascii="仿宋_GB2312" w:eastAsia="仿宋_GB2312" w:cs="仿宋_GB2312" w:hAnsi="仿宋_GB2312" w:hint="eastAsia"/>
          <w:spacing w:val="7"/>
          <w:sz w:val="32"/>
          <w:szCs w:val="32"/>
        </w:rPr>
        <w:t>机构）</w:t>
      </w:r>
      <w:r>
        <w:rPr>
          <w:rFonts w:ascii="仿宋_GB2312" w:eastAsia="仿宋_GB2312" w:cs="仿宋_GB2312" w:hAnsi="仿宋_GB2312" w:hint="eastAsia"/>
          <w:spacing w:val="5"/>
          <w:sz w:val="32"/>
          <w:szCs w:val="32"/>
        </w:rPr>
        <w:t>按规定使用，可用于医务人员绩效和医院发</w:t>
      </w:r>
      <w:r>
        <w:rPr>
          <w:rFonts w:ascii="仿宋_GB2312" w:eastAsia="仿宋_GB2312" w:cs="仿宋_GB2312" w:hAnsi="仿宋_GB2312" w:hint="eastAsia"/>
          <w:spacing w:val="4"/>
          <w:sz w:val="32"/>
          <w:szCs w:val="32"/>
        </w:rPr>
        <w:t>展。医保部门依照协</w:t>
      </w:r>
      <w:r>
        <w:rPr>
          <w:rFonts w:ascii="仿宋_GB2312" w:eastAsia="仿宋_GB2312" w:cs="仿宋_GB2312" w:hAnsi="仿宋_GB2312" w:hint="eastAsia"/>
          <w:spacing w:val="9"/>
          <w:sz w:val="32"/>
          <w:szCs w:val="32"/>
        </w:rPr>
        <w:t>议扣除的费用不参与医共体年度清算和再分配。</w:t>
      </w:r>
    </w:p>
    <w:p>
      <w:pPr>
        <w:spacing w:line="228" w:lineRule="auto"/>
        <w:ind w:left="644"/>
        <w:outlineLvl w:val="1"/>
        <w:rPr>
          <w:rFonts w:ascii="黑体" w:eastAsia="黑体" w:cs="黑体" w:hAnsi="黑体"/>
          <w:sz w:val="32"/>
          <w:szCs w:val="32"/>
        </w:rPr>
      </w:pPr>
      <w:r>
        <w:rPr>
          <w:rFonts w:ascii="黑体" w:eastAsia="黑体" w:cs="黑体" w:hAnsi="黑体"/>
          <w:spacing w:val="7"/>
          <w:sz w:val="32"/>
          <w:szCs w:val="32"/>
        </w:rPr>
        <w:t>七、工作要求</w:t>
      </w:r>
    </w:p>
    <w:p>
      <w:pPr>
        <w:spacing w:before="240" w:line="372" w:lineRule="auto"/>
        <w:ind w:left="5" w:firstLine="639"/>
        <w:jc w:val="both"/>
        <w:rPr>
          <w:rFonts w:ascii="仿宋_GB2312" w:eastAsia="仿宋_GB2312" w:cs="仿宋_GB2312" w:hAnsi="仿宋_GB2312" w:hint="eastAsia"/>
          <w:sz w:val="32"/>
          <w:szCs w:val="32"/>
        </w:rPr>
      </w:pPr>
      <w:r>
        <w:rPr>
          <w:rFonts w:ascii="仿宋_GB2312" w:eastAsia="仿宋_GB2312" w:cs="仿宋_GB2312" w:hAnsi="仿宋_GB2312" w:hint="eastAsia"/>
          <w:spacing w:val="4"/>
          <w:sz w:val="32"/>
          <w:szCs w:val="32"/>
        </w:rPr>
        <w:t>各级医保部门要进一步统一思想</w:t>
      </w:r>
      <w:r>
        <w:rPr>
          <w:rFonts w:ascii="仿宋_GB2312" w:eastAsia="仿宋_GB2312" w:cs="仿宋_GB2312" w:hAnsi="仿宋_GB2312" w:hint="eastAsia"/>
          <w:spacing w:val="4"/>
          <w:sz w:val="32"/>
          <w:szCs w:val="32"/>
          <w:lang w:eastAsia="zh-CN"/>
        </w:rPr>
        <w:t>、</w:t>
      </w:r>
      <w:r>
        <w:rPr>
          <w:rFonts w:ascii="仿宋_GB2312" w:eastAsia="仿宋_GB2312" w:cs="仿宋_GB2312" w:hAnsi="仿宋_GB2312" w:hint="eastAsia"/>
          <w:spacing w:val="4"/>
          <w:sz w:val="32"/>
          <w:szCs w:val="32"/>
        </w:rPr>
        <w:t>提高认识</w:t>
      </w:r>
      <w:r>
        <w:rPr>
          <w:rFonts w:ascii="仿宋_GB2312" w:eastAsia="仿宋_GB2312" w:cs="仿宋_GB2312" w:hAnsi="仿宋_GB2312" w:hint="eastAsia"/>
          <w:spacing w:val="4"/>
          <w:sz w:val="32"/>
          <w:szCs w:val="32"/>
          <w:lang w:eastAsia="zh-CN"/>
        </w:rPr>
        <w:t>，</w:t>
      </w:r>
      <w:r>
        <w:rPr>
          <w:rFonts w:ascii="仿宋_GB2312" w:eastAsia="仿宋_GB2312" w:cs="仿宋_GB2312" w:hAnsi="仿宋_GB2312" w:hint="eastAsia"/>
          <w:spacing w:val="4"/>
          <w:sz w:val="32"/>
          <w:szCs w:val="32"/>
        </w:rPr>
        <w:t>切实把支持医共体建设作为重要工作，抓紧抓好。不断深化医保支付方式、医疗服务价格和药品耗材招采改革，强化基金监管，提高基金使用</w:t>
      </w:r>
      <w:r>
        <w:rPr>
          <w:rFonts w:ascii="仿宋_GB2312" w:eastAsia="仿宋_GB2312" w:cs="仿宋_GB2312" w:hAnsi="仿宋_GB2312" w:hint="eastAsia"/>
          <w:spacing w:val="-3"/>
          <w:sz w:val="32"/>
          <w:szCs w:val="32"/>
        </w:rPr>
        <w:t>效率。认真研究解决出现的新情况、新问题，确保改革顺利推进、</w:t>
      </w:r>
      <w:r>
        <w:rPr>
          <w:rFonts w:ascii="仿宋_GB2312" w:eastAsia="仿宋_GB2312" w:cs="仿宋_GB2312" w:hAnsi="仿宋_GB2312" w:hint="eastAsia"/>
          <w:spacing w:val="5"/>
          <w:sz w:val="32"/>
          <w:szCs w:val="32"/>
        </w:rPr>
        <w:t>取得实效。</w:t>
      </w:r>
    </w:p>
    <w:p>
      <w:pPr>
        <w:ind w:firstLineChars="200" w:firstLine="640"/>
        <w:rPr>
          <w:rFonts w:ascii="仿宋_GB2312" w:eastAsia="仿宋_GB2312" w:cs="仿宋_GB2312" w:hAnsi="仿宋_GB2312" w:hint="eastAsia"/>
          <w:color w:val="auto"/>
          <w:sz w:val="32"/>
          <w:szCs w:val="32"/>
        </w:rPr>
      </w:pPr>
      <w:r>
        <w:rPr>
          <w:rFonts w:ascii="仿宋_GB2312" w:eastAsia="仿宋_GB2312" w:cs="仿宋_GB2312" w:hAnsi="仿宋_GB2312" w:hint="eastAsia"/>
          <w:color w:val="auto"/>
          <w:sz w:val="32"/>
          <w:szCs w:val="32"/>
        </w:rPr>
        <w:t>本方案自发布之日起施行。</w:t>
      </w:r>
    </w:p>
    <w:p>
      <w:pPr>
        <w:spacing w:before="1" w:line="221" w:lineRule="auto"/>
        <w:ind w:left="669"/>
        <w:rPr>
          <w:rFonts w:ascii="仿宋" w:eastAsia="仿宋" w:cs="仿宋" w:hAnsi="仿宋"/>
          <w:spacing w:val="8"/>
          <w:sz w:val="31"/>
          <w:szCs w:val="31"/>
        </w:rPr>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p>
    <w:p>
      <w:pPr>
        <w:pStyle w:val="15"/>
        <w:spacing w:line="242" w:lineRule="auto"/>
      </w:pPr>
      <w:r>
        <w:drawing>
          <wp:anchor distT="0" distB="0" distL="0" distR="0" simplePos="0" relativeHeight="19" behindDoc="0" locked="0" layoutInCell="1" hidden="0" allowOverlap="1">
            <wp:simplePos x="0" y="0"/>
            <wp:positionH relativeFrom="column">
              <wp:posOffset>1905</wp:posOffset>
            </wp:positionH>
            <wp:positionV relativeFrom="paragraph">
              <wp:posOffset>125729</wp:posOffset>
            </wp:positionV>
            <wp:extent cx="5615940" cy="10159"/>
            <wp:effectExtent l="0" t="0" r="0" b="0"/>
            <wp:wrapNone/>
            <wp:docPr id="7" name="IM 18"/>
            <wp:cNvGraphicFramePr>
              <a:graphicFrameLocks noChangeAspect="0"/>
            </wp:cNvGraphicFramePr>
            <a:graphic>
              <a:graphicData uri="http://schemas.openxmlformats.org/drawingml/2006/picture">
                <pic:pic>
                  <pic:nvPicPr>
                    <pic:cNvPr id="9" name="IM 18 9"/>
                    <pic:cNvPicPr/>
                  </pic:nvPicPr>
                  <pic:blipFill>
                    <a:blip r:embed="rId6"/>
                    <a:stretch>
                      <a:fillRect/>
                    </a:stretch>
                  </pic:blipFill>
                  <pic:spPr>
                    <a:xfrm rot="0">
                      <a:off x="0" y="0"/>
                      <a:ext cx="5615940" cy="10159"/>
                    </a:xfrm>
                    <a:prstGeom prst="rect"/>
                    <a:noFill/>
                    <a:ln w="9525" cmpd="sng" cap="flat">
                      <a:noFill/>
                      <a:prstDash val="solid"/>
                      <a:miter/>
                    </a:ln>
                  </pic:spPr>
                </pic:pic>
              </a:graphicData>
            </a:graphic>
          </wp:anchor>
        </w:drawing>
      </w:r>
    </w:p>
    <w:p>
      <w:pPr>
        <w:spacing w:before="101" w:line="221" w:lineRule="auto"/>
        <w:ind w:left="344"/>
        <w:rPr>
          <w:rFonts w:ascii="仿宋_GB2312" w:eastAsia="仿宋_GB2312" w:cs="仿宋_GB2312" w:hAnsi="仿宋_GB2312" w:hint="eastAsia"/>
          <w:sz w:val="32"/>
          <w:szCs w:val="32"/>
        </w:rPr>
      </w:pPr>
      <w:r>
        <w:rPr>
          <w:rFonts w:ascii="仿宋_GB2312" w:eastAsia="仿宋_GB2312" w:cs="仿宋_GB2312" w:hAnsi="仿宋_GB2312" w:hint="eastAsia"/>
          <w:spacing w:val="-4"/>
          <w:sz w:val="32"/>
          <w:szCs w:val="32"/>
          <w:lang w:eastAsia="zh-CN"/>
        </w:rPr>
        <w:t>新乡</w:t>
      </w:r>
      <w:r>
        <w:rPr>
          <w:rFonts w:ascii="仿宋_GB2312" w:eastAsia="仿宋_GB2312" w:cs="仿宋_GB2312" w:hAnsi="仿宋_GB2312" w:hint="eastAsia"/>
          <w:spacing w:val="-4"/>
          <w:sz w:val="32"/>
          <w:szCs w:val="32"/>
        </w:rPr>
        <w:t>市医疗保障局</w:t>
      </w:r>
      <w:r>
        <w:rPr>
          <w:rFonts w:ascii="仿宋_GB2312" w:eastAsia="仿宋_GB2312" w:cs="仿宋_GB2312" w:hAnsi="仿宋_GB2312" w:hint="eastAsia"/>
          <w:spacing w:val="8"/>
          <w:sz w:val="32"/>
          <w:szCs w:val="32"/>
        </w:rPr>
        <w:t xml:space="preserve">              </w:t>
      </w:r>
      <w:r>
        <w:rPr>
          <w:rFonts w:ascii="仿宋_GB2312" w:eastAsia="仿宋_GB2312" w:cs="仿宋_GB2312" w:hAnsi="仿宋_GB2312" w:hint="eastAsia"/>
          <w:spacing w:val="8"/>
          <w:sz w:val="32"/>
          <w:szCs w:val="32"/>
          <w:lang w:val="en-US" w:eastAsia="zh-CN"/>
        </w:rPr>
        <w:t xml:space="preserve">     </w:t>
      </w:r>
      <w:r>
        <w:rPr>
          <w:rFonts w:ascii="仿宋_GB2312" w:eastAsia="仿宋_GB2312" w:cs="仿宋_GB2312" w:hAnsi="仿宋_GB2312" w:hint="eastAsia"/>
          <w:spacing w:val="-4"/>
          <w:sz w:val="32"/>
          <w:szCs w:val="32"/>
        </w:rPr>
        <w:t>202</w:t>
      </w:r>
      <w:r>
        <w:rPr>
          <w:rFonts w:ascii="仿宋_GB2312" w:eastAsia="仿宋_GB2312" w:cs="仿宋_GB2312" w:hAnsi="仿宋_GB2312" w:hint="eastAsia"/>
          <w:spacing w:val="-4"/>
          <w:sz w:val="32"/>
          <w:szCs w:val="32"/>
          <w:lang w:val="en-US" w:eastAsia="zh-CN"/>
        </w:rPr>
        <w:t>5</w:t>
      </w:r>
      <w:r>
        <w:rPr>
          <w:rFonts w:ascii="仿宋_GB2312" w:eastAsia="仿宋_GB2312" w:cs="仿宋_GB2312" w:hAnsi="仿宋_GB2312" w:hint="eastAsia"/>
          <w:spacing w:val="-4"/>
          <w:sz w:val="32"/>
          <w:szCs w:val="32"/>
        </w:rPr>
        <w:t>年</w:t>
      </w:r>
      <w:r>
        <w:rPr>
          <w:rFonts w:ascii="仿宋_GB2312" w:eastAsia="仿宋_GB2312" w:cs="仿宋_GB2312" w:hAnsi="仿宋_GB2312" w:hint="eastAsia"/>
          <w:spacing w:val="-41"/>
          <w:sz w:val="32"/>
          <w:szCs w:val="32"/>
          <w:lang w:val="en-US" w:eastAsia="zh-CN"/>
        </w:rPr>
        <w:t>9</w:t>
      </w:r>
      <w:r>
        <w:rPr>
          <w:rFonts w:ascii="仿宋_GB2312" w:eastAsia="仿宋_GB2312" w:cs="仿宋_GB2312" w:hAnsi="仿宋_GB2312" w:hint="eastAsia"/>
          <w:spacing w:val="-4"/>
          <w:sz w:val="32"/>
          <w:szCs w:val="32"/>
        </w:rPr>
        <w:t>月</w:t>
      </w:r>
      <w:r>
        <w:rPr>
          <w:rFonts w:ascii="仿宋_GB2312" w:eastAsia="仿宋_GB2312" w:cs="仿宋_GB2312" w:hAnsi="仿宋_GB2312" w:hint="eastAsia"/>
          <w:spacing w:val="-38"/>
          <w:sz w:val="32"/>
          <w:szCs w:val="32"/>
        </w:rPr>
        <w:t xml:space="preserve"> </w:t>
      </w:r>
      <w:r>
        <w:rPr>
          <w:rFonts w:ascii="仿宋_GB2312" w:eastAsia="仿宋_GB2312" w:cs="仿宋_GB2312" w:hAnsi="仿宋_GB2312" w:hint="eastAsia"/>
          <w:spacing w:val="-4"/>
          <w:sz w:val="32"/>
          <w:szCs w:val="32"/>
          <w:lang w:val="en-US" w:eastAsia="zh-CN"/>
        </w:rPr>
        <w:t>X</w:t>
      </w:r>
      <w:r>
        <w:rPr>
          <w:rFonts w:ascii="仿宋_GB2312" w:eastAsia="仿宋_GB2312" w:cs="仿宋_GB2312" w:hAnsi="仿宋_GB2312" w:hint="eastAsia"/>
          <w:spacing w:val="-4"/>
          <w:sz w:val="32"/>
          <w:szCs w:val="32"/>
        </w:rPr>
        <w:t>日印发</w:t>
      </w:r>
    </w:p>
    <w:p>
      <w:pPr>
        <w:pStyle w:val="15"/>
        <w:spacing w:line="322" w:lineRule="auto"/>
      </w:pPr>
      <w:r>
        <w:drawing>
          <wp:anchor distT="0" distB="0" distL="0" distR="0" simplePos="0" relativeHeight="17" behindDoc="0" locked="0" layoutInCell="1" hidden="0" allowOverlap="1">
            <wp:simplePos x="0" y="0"/>
            <wp:positionH relativeFrom="column">
              <wp:posOffset>0</wp:posOffset>
            </wp:positionH>
            <wp:positionV relativeFrom="paragraph">
              <wp:posOffset>57150</wp:posOffset>
            </wp:positionV>
            <wp:extent cx="5615940" cy="10159"/>
            <wp:effectExtent l="0" t="0" r="0" b="0"/>
            <wp:wrapNone/>
            <wp:docPr id="10" name="IM 20"/>
            <wp:cNvGraphicFramePr>
              <a:graphicFrameLocks noChangeAspect="0"/>
            </wp:cNvGraphicFramePr>
            <a:graphic>
              <a:graphicData uri="http://schemas.openxmlformats.org/drawingml/2006/picture">
                <pic:pic>
                  <pic:nvPicPr>
                    <pic:cNvPr id="12" name="IM 20 12"/>
                    <pic:cNvPicPr/>
                  </pic:nvPicPr>
                  <pic:blipFill>
                    <a:blip r:embed="rId7"/>
                    <a:stretch>
                      <a:fillRect/>
                    </a:stretch>
                  </pic:blipFill>
                  <pic:spPr>
                    <a:xfrm rot="0">
                      <a:off x="0" y="0"/>
                      <a:ext cx="5615940" cy="10159"/>
                    </a:xfrm>
                    <a:prstGeom prst="rect"/>
                    <a:noFill/>
                    <a:ln w="9525" cmpd="sng" cap="flat">
                      <a:noFill/>
                      <a:prstDash val="solid"/>
                      <a:miter/>
                    </a:ln>
                  </pic:spPr>
                </pic:pic>
              </a:graphicData>
            </a:graphic>
          </wp:anchor>
        </w:drawing>
      </w:r>
    </w:p>
    <w:sectPr>
      <w:headerReference w:type="default" r:id="rId4"/>
      <w:footerReference w:type="default" r:id="rId5"/>
      <w:pgSz w:w="11906" w:h="16839"/>
      <w:pgMar w:top="400" w:right="1533" w:bottom="400" w:left="1526" w:header="0" w:footer="0" w:gutter="0"/>
      <w:pgNumType/>
      <w:cols w:num="1" w:space="720"/>
      <w:docGrid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方正小标宋简体">
    <w:altName w:val="方正小标宋_GBK"/>
    <w:panose1 w:val="02000000000000000000"/>
    <w:charset w:val="86"/>
    <w:family w:val="auto"/>
    <w:pitch w:val="variable"/>
    <w:sig w:usb0="A00002BF" w:usb1="184F6CFA" w:usb2="00000012" w:usb3="00000000" w:csb0="00040001" w:csb1="00000000"/>
  </w:font>
  <w:font w:name="仿宋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Lucida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5" behindDoc="0" locked="0" layoutInCell="1" hidden="0" allowOverlap="1">
              <wp:simplePos x="0" y="0"/>
              <wp:positionH relativeFrom="margin">
                <wp:align>outside</wp:align>
              </wp:positionH>
              <wp:positionV relativeFrom="paragraph">
                <wp:posOffset>0</wp:posOffset>
              </wp:positionV>
              <wp:extent cx="622300" cy="230251"/>
              <wp:effectExtent l="0" t="0" r="0" b="0"/>
              <wp:wrapNone/>
              <wp:docPr id="1" name="文本框 5"/>
              <wp:cNvGraphicFramePr>
                <a:graphicFrameLocks noChangeAspect="0"/>
              </wp:cNvGraphicFramePr>
              <a:graphic>
                <a:graphicData uri="http://schemas.microsoft.com/office/word/2010/wordprocessingShape">
                  <wps:wsp>
                    <wps:cNvSpPr/>
                    <wps:spPr>
                      <a:xfrm rot="0">
                        <a:off x="0" y="0"/>
                        <a:ext cx="622300" cy="230251"/>
                      </a:xfrm>
                      <a:prstGeom prst="rect"/>
                      <a:noFill/>
                      <a:ln w="6350" cmpd="sng" cap="flat">
                        <a:noFill/>
                        <a:prstDash val="solid"/>
                        <a:round/>
                      </a:ln>
                    </wps:spPr>
                    <wps:txbx id="2">
                      <w:txbxContent>
                        <w:p>
                          <w:pPr>
                            <w:pStyle w:val="17"/>
                            <w:tabs>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5 3" o:spid="_x0000_s3" filled="f" stroked="f" strokeweight="0.5pt" style="position:absolute;margin-left:0.0pt;margin-top:0.0pt;width:49.000004pt;height:18.130003pt;z-index:15;mso-position-horizontal:outsid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17"/>
                      <w:tabs>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w:rPr>
        <w:sz w:val="2"/>
      </w:rPr>
      <mc:AlternateContent>
        <mc:Choice Requires="wps">
          <w:drawing>
            <wp:anchor distT="0" distB="0" distL="114298" distR="114298" simplePos="0" relativeHeight="21" behindDoc="0" locked="0" layoutInCell="1" hidden="0" allowOverlap="1">
              <wp:simplePos x="0" y="0"/>
              <wp:positionH relativeFrom="margin">
                <wp:align>outside</wp:align>
              </wp:positionH>
              <wp:positionV relativeFrom="paragraph">
                <wp:posOffset>0</wp:posOffset>
              </wp:positionV>
              <wp:extent cx="373989" cy="133159"/>
              <wp:effectExtent l="0" t="0" r="0" b="0"/>
              <wp:wrapNone/>
              <wp:docPr id="4" name="文本框 8"/>
              <wp:cNvGraphicFramePr>
                <a:graphicFrameLocks noChangeAspect="0"/>
              </wp:cNvGraphicFramePr>
              <a:graphic>
                <a:graphicData uri="http://schemas.microsoft.com/office/word/2010/wordprocessingShape">
                  <wps:wsp>
                    <wps:cNvSpPr/>
                    <wps:spPr>
                      <a:xfrm rot="0">
                        <a:off x="0" y="0"/>
                        <a:ext cx="373989" cy="133159"/>
                      </a:xfrm>
                      <a:prstGeom prst="rect"/>
                      <a:noFill/>
                      <a:ln w="6350" cmpd="sng" cap="flat">
                        <a:noFill/>
                        <a:prstDash val="solid"/>
                        <a:round/>
                      </a:ln>
                    </wps:spPr>
                    <wps:txbx id="5">
                      <w:txbxContent>
                        <w:p>
                          <w:pPr>
                            <w:pStyle w:val="17"/>
                            <w:tabs>
                              <w:tab w:val="center" w:pos="4153"/>
                              <w:tab w:val="right" w:pos="8306"/>
                            </w:tabs>
                          </w:pPr>
                          <w:r>
                            <w:t xml:space="preserve">— </w:t>
                          </w:r>
                          <w:r>
                            <w:fldChar w:fldCharType="begin"/>
                          </w:r>
                          <w:r>
                            <w:instrText xml:space="preserve"> PAGE  \* MERGEFORMAT </w:instrText>
                          </w:r>
                          <w:r>
                            <w:fldChar w:fldCharType="separate"/>
                          </w:r>
                          <w:r>
                            <w:t>8</w:t>
                          </w:r>
                          <w:r>
                            <w:fldChar w:fldCharType="end"/>
                          </w:r>
                          <w:r>
                            <w:t xml:space="preserve"> —</w:t>
                          </w:r>
                        </w:p>
                      </w:txbxContent>
                    </wps:txbx>
                    <wps:bodyPr vert="horz" wrap="none" lIns="0" tIns="0" rIns="0" bIns="0" anchor="t" anchorCtr="0" upright="0">
                      <a:spAutoFit/>
                    </wps:bodyPr>
                  </wps:wsp>
                </a:graphicData>
              </a:graphic>
            </wp:anchor>
          </w:drawing>
        </mc:Choice>
        <mc:Fallback>
          <w:pict>
            <v:shape type="#_x0000_t202" id="文本框 8 6" o:spid="_x0000_s6" filled="f" stroked="f" strokeweight="0.5pt" style="position:absolute;margin-left:0.0pt;margin-top:0.0pt;width:29.448004pt;height:10.484998pt;z-index:21;mso-position-horizontal:outside;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pStyle w:val="17"/>
                      <w:tabs>
                        <w:tab w:val="center" w:pos="4153"/>
                        <w:tab w:val="right" w:pos="8306"/>
                      </w:tabs>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ompat>
    <w:spaceForUL/>
    <w:ulTrailSpac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6"/>
    <w:pPr>
      <w:kinsoku w:val="0"/>
      <w:autoSpaceDE w:val="0"/>
      <w:autoSpaceDN w:val="0"/>
      <w:adjustRightInd w:val="0"/>
      <w:snapToGrid w:val="0"/>
      <w:spacing w:line="240" w:lineRule="auto"/>
      <w:jc w:val="left"/>
      <w:textAlignment w:val="baseline"/>
    </w:pPr>
    <w:rPr>
      <w:rFonts w:ascii="Arial" w:eastAsia="Arial" w:cs="Arial" w:hAnsi="Arial"/>
      <w:snapToGrid w:val="0"/>
      <w:color w:val="000000"/>
      <w:kern w:val="0"/>
      <w:sz w:val="21"/>
      <w:szCs w:val="21"/>
      <w:lang w:val="en-US"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rPr>
      <w:rFonts w:ascii="Arial" w:eastAsia="Arial" w:cs="Arial" w:hAnsi="Arial"/>
      <w:sz w:val="21"/>
      <w:szCs w:val="21"/>
      <w:lang w:val="en-US" w:bidi="ar-SA"/>
    </w:rPr>
  </w:style>
  <w:style w:type="paragraph" w:styleId="16">
    <w:name w:val="Body Text First Indent"/>
    <w:basedOn w:val="15"/>
    <w:pPr>
      <w:ind w:firstLineChars="100" w:firstLine="100"/>
    </w:pPr>
  </w:style>
  <w:style w:type="paragraph" w:styleId="17">
    <w:name w:val="footer"/>
    <w:basedOn w:val="0"/>
    <w:pPr>
      <w:tabs>
        <w:tab w:val="center" w:pos="4153"/>
        <w:tab w:val="right" w:pos="8306"/>
      </w:tabs>
      <w:adjustRightInd w:val="0"/>
      <w:snapToGrid w:val="0"/>
      <w:jc w:val="left"/>
    </w:pPr>
    <w:rPr>
      <w:sz w:val="18"/>
    </w:rPr>
  </w:style>
  <w:style w:type="paragraph" w:customStyle="1" w:styleId="18">
    <w:name w:val="Table Text"/>
    <w:basedOn w:val="0"/>
    <w:rPr>
      <w:rFonts w:ascii="仿宋" w:eastAsia="仿宋" w:cs="仿宋" w:hAnsi="仿宋"/>
      <w:sz w:val="20"/>
      <w:szCs w:val="20"/>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image" Target="media/8.png"/><Relationship Id="rId7" Type="http://schemas.openxmlformats.org/officeDocument/2006/relationships/image" Target="media/11.png"/><Relationship Id="rId8" Type="http://schemas.openxmlformats.org/officeDocument/2006/relationships/styles" Target="styles.xml"/><Relationship Id="rId9" Type="http://schemas.openxmlformats.org/officeDocument/2006/relationships/fontTable" Target="fontTable.xml"/><Relationship Id="rId10"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86923AFA-21CC-422C-9780-AEE697DAE6D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6</Pages>
  <Words>0</Words>
  <Characters>1637</Characters>
  <Lines>0</Lines>
  <Paragraphs>158</Paragraphs>
  <CharactersWithSpaces>2183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xbany</dc:creator>
  <cp:lastModifiedBy>administrator</cp:lastModifiedBy>
  <cp:revision>0</cp:revision>
  <cp:lastPrinted>2025-09-25T07:05:00Z</cp:lastPrinted>
  <dcterms:created xsi:type="dcterms:W3CDTF">2024-11-15T06:56:00Z</dcterms:created>
  <dcterms:modified xsi:type="dcterms:W3CDTF">2025-10-11T09:15:25Z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wqlLaW5nc29mdCBQREYgdG8gV1BTIDExMA</vt:lpwstr>
  </property>
  <property fmtid="{D5CDD505-2E9C-101B-9397-08002B2CF9AE}" pid="3" name="Created">
    <vt:filetime>2025-06-29T16:00:00Z</vt:filetime>
  </property>
  <property fmtid="{D5CDD505-2E9C-101B-9397-08002B2CF9AE}" pid="4" name="KSOProductBuildVer">
    <vt:lpwstr>2052-11.8.2.11625</vt:lpwstr>
  </property>
  <property fmtid="{D5CDD505-2E9C-101B-9397-08002B2CF9AE}" pid="5" name="ICV">
    <vt:lpwstr>E5FEC847FD4F4238B56D6577E96F2B6E_13</vt:lpwstr>
  </property>
</Properties>
</file>