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_GBK" w:eastAsia="方正小标宋_GBK" w:cs="方正小标宋_GBK" w:hAnsi="方正小标宋_GBK" w:hint="eastAsia"/>
          <w:b w:val="0"/>
          <w:bCs w:val="0"/>
          <w:sz w:val="44"/>
          <w:szCs w:val="44"/>
          <w:u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_GBK" w:eastAsia="方正小标宋_GBK" w:cs="方正小标宋_GBK" w:hAnsi="方正小标宋_GBK" w:hint="eastAsia"/>
          <w:b w:val="0"/>
          <w:bCs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_GBK" w:eastAsia="方正小标宋_GBK" w:cs="方正小标宋_GBK" w:hAnsi="方正小标宋_GBK" w:hint="eastAsia"/>
          <w:b w:val="0"/>
          <w:bCs w:val="0"/>
          <w:sz w:val="44"/>
          <w:szCs w:val="44"/>
          <w:u w:val="none"/>
          <w:lang w:val="en-US" w:eastAsia="zh-CN"/>
        </w:rPr>
      </w:pPr>
      <w:r>
        <w:rPr>
          <w:rFonts w:ascii="方正小标宋_GBK" w:eastAsia="方正小标宋_GBK" w:cs="方正小标宋_GBK" w:hAnsi="方正小标宋_GBK" w:hint="eastAsia"/>
          <w:b w:val="0"/>
          <w:bCs w:val="0"/>
          <w:sz w:val="44"/>
          <w:szCs w:val="44"/>
          <w:u w:val="none"/>
          <w:lang w:val="en-US" w:eastAsia="zh-CN"/>
        </w:rPr>
        <w:t>新乡市医疗保障局</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_GBK" w:eastAsia="方正小标宋_GBK" w:cs="方正小标宋_GBK" w:hAnsi="方正小标宋_GBK" w:hint="eastAsia"/>
          <w:b w:val="0"/>
          <w:bCs w:val="0"/>
          <w:sz w:val="44"/>
          <w:szCs w:val="44"/>
          <w:u w:val="none"/>
          <w:lang w:val="en-US" w:eastAsia="zh-CN"/>
        </w:rPr>
      </w:pPr>
      <w:r>
        <w:rPr>
          <w:rFonts w:ascii="方正小标宋_GBK" w:eastAsia="方正小标宋_GBK" w:cs="方正小标宋_GBK" w:hAnsi="方正小标宋_GBK" w:hint="eastAsia"/>
          <w:b w:val="0"/>
          <w:bCs w:val="0"/>
          <w:sz w:val="44"/>
          <w:szCs w:val="44"/>
          <w:u w:val="none"/>
          <w:lang w:val="en-US" w:eastAsia="zh-CN"/>
        </w:rPr>
        <w:t>关于开展医疗服务价格规范治理（第六批）</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_GBK" w:eastAsia="方正小标宋_GBK" w:cs="方正小标宋_GBK" w:hAnsi="方正小标宋_GBK" w:hint="eastAsia"/>
          <w:b w:val="0"/>
          <w:bCs w:val="0"/>
          <w:sz w:val="44"/>
          <w:szCs w:val="44"/>
          <w:u w:val="none"/>
          <w:lang w:val="en-US" w:eastAsia="zh-CN"/>
        </w:rPr>
      </w:pPr>
      <w:r>
        <w:rPr>
          <w:rFonts w:ascii="方正小标宋_GBK" w:eastAsia="方正小标宋_GBK" w:cs="方正小标宋_GBK" w:hAnsi="方正小标宋_GBK" w:hint="eastAsia"/>
          <w:b w:val="0"/>
          <w:bCs w:val="0"/>
          <w:sz w:val="44"/>
          <w:szCs w:val="44"/>
          <w:u w:val="none"/>
          <w:lang w:val="en-US" w:eastAsia="zh-CN"/>
        </w:rPr>
        <w:t>的通知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ascii="CESI仿宋-GB2312" w:eastAsia="仿宋_GB2312" w:cs="仿宋_GB2312" w:hAnsi="CESI仿宋-GB2312" w:hint="eastAsia"/>
          <w:sz w:val="32"/>
          <w:szCs w:val="32"/>
          <w:lang w:eastAsia="zh-CN"/>
        </w:rPr>
      </w:pPr>
      <w:r>
        <w:rPr>
          <w:rFonts w:ascii="CESI仿宋-GB2312" w:eastAsia="仿宋_GB2312" w:cs="仿宋_GB2312" w:hAnsi="CESI仿宋-GB2312" w:hint="eastAsia"/>
          <w:sz w:val="32"/>
          <w:szCs w:val="32"/>
          <w:lang w:eastAsia="zh-CN"/>
        </w:rPr>
        <w:t>各县（市、区）医疗保障局，市医疗保险中心，相关公立医疗机构：</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根据国家医保局《关于开展医疗服务价格规范治理（第六批）的通知》（医保价采函〔2025〕138号）和《河南省医疗保障局关于开展医疗服务价格规范治理（第六批）的通知》（豫医保办【2025】57号）要求，为规范我市医疗服务价格管理，减轻人民群众看病就医负担，现就开展第六批医疗服务价格规范治理工作通知如下。</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9"/>
        <w:rPr>
          <w:rFonts w:ascii="CESI仿宋-GB2312" w:eastAsia="仿宋_GB2312" w:cs="仿宋_GB2312" w:hAnsi="CESI仿宋-GB2312"/>
          <w:sz w:val="32"/>
          <w:szCs w:val="32"/>
          <w:lang w:val="en-US" w:eastAsia="zh-CN"/>
        </w:rPr>
      </w:pPr>
      <w:r>
        <w:rPr>
          <w:rFonts w:ascii="CESI仿宋-GB2312" w:eastAsia="仿宋_GB2312" w:cs="仿宋_GB2312" w:hAnsi="CESI仿宋-GB2312" w:hint="eastAsia"/>
          <w:sz w:val="32"/>
          <w:szCs w:val="32"/>
          <w:lang w:val="en-US" w:eastAsia="zh-CN"/>
        </w:rPr>
        <w:t>一、调整“结核分枝杆菌耐药基因检测”项目计价单位、价格和计价说明（见附件）。</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二、调整后的相关项目价格为省管公立医疗机构最高政府指导价格。我市医保部门要按照价格管理权限及时调整本地区相关项目价格，同一地区不同等级医疗机构之间保持价格相对平衡。</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三、各级医保部门要密切关注治理后项目服务量和总费用的变化情况，防范同类可替代项目服务量激增，防止设备耗材迭代后以申报新增项目等形式变相回溯。</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color w:val="auto"/>
          <w:sz w:val="32"/>
          <w:szCs w:val="32"/>
          <w:lang w:val="en-US" w:eastAsia="zh-CN"/>
        </w:rPr>
        <w:t>本通知自2025年10月15日起执行。各级医保经办机构和公立医疗机构要尽快更新医保信息系统和医院管理系统数据，及时做好各项衔接工作。</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附件：新乡市医疗服务价格规范治理项目（第六批）</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ascii="CESI仿宋-GB2312" w:eastAsia="仿宋_GB2312" w:cs="仿宋_GB2312" w:hAnsi="CESI仿宋-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ascii="CESI仿宋-GB2312" w:eastAsia="仿宋_GB2312" w:cs="仿宋_GB2312" w:hAnsi="CESI仿宋-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1600" w:firstLine="5120"/>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2025年9月19日</w:t>
      </w:r>
    </w:p>
    <w:p>
      <w:pPr>
        <w:rPr>
          <w:rFonts w:ascii="CESI仿宋-GB2312" w:hAnsi="CESI仿宋-GB2312"/>
        </w:rPr>
      </w:pPr>
    </w:p>
    <w:p>
      <w:pPr>
        <w:rPr>
          <w:rFonts w:ascii="CESI仿宋-GB2312" w:hAnsi="CESI仿宋-GB2312"/>
        </w:rPr>
      </w:pPr>
    </w:p>
    <w:sectPr>
      <w:headerReference w:type="default" r:id="rId2"/>
      <w:footerReference w:type="default" r:id="rId3"/>
      <w:pgSz w:w="11906" w:h="16838"/>
      <w:pgMar w:top="2041" w:right="1531" w:bottom="2041" w:left="1531"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auto"/>
    <w:pitch w:val="variable"/>
    <w:sig w:usb0="00000001" w:usb1="08000000" w:usb2="00000000" w:usb3="00000000" w:csb0="00040000" w:csb1="00000000"/>
  </w:font>
  <w:font w:name="CESI仿宋-GB2312">
    <w:altName w:val="仿宋"/>
    <w:panose1 w:val="02000500000000000000"/>
    <w:charset w:val="00"/>
    <w:family w:val="auto"/>
    <w:pitch w:val="variable"/>
    <w:sig w:usb0="800002AF" w:usb1="084F6CF8" w:usb2="00000010" w:usb3="00000000" w:csb0="0004000F" w:csb1="00000000"/>
  </w:font>
  <w:font w:name="仿宋_GB2312">
    <w:panose1 w:val="02010609030101010101"/>
    <w:charset w:val="86"/>
    <w:family w:val="auto"/>
    <w:pitch w:val="variable"/>
    <w:sig w:usb0="00000001" w:usb1="080E0000" w:usb2="00000000" w:usb3="00000000" w:csb0="00040000" w:csb1="00000000"/>
  </w:font>
  <w:font w:name="Times New Roman">
    <w:altName w:val="Nimbus Roman No9 L"/>
    <w:panose1 w:val="00000000000000000000"/>
    <w:charset w:val="00"/>
    <w:family w:val="auto"/>
    <w:pitch w:val="variable"/>
    <w:sig w:usb0="00000000" w:usb1="00000000" w:usb2="00000000" w:usb3="00000000" w:csb0="00000000" w:csb1="00000000"/>
  </w:font>
  <w:font w:name="宋体">
    <w:altName w:val="方正书宋_GBK"/>
    <w:panose1 w:val="00000000000000000000"/>
    <w:charset w:val="86"/>
    <w:family w:val="auto"/>
    <w:pitch w:val="variable"/>
    <w:sig w:usb0="00000000" w:usb1="0000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lear" w:pos="4153"/>
        <w:tab w:val="clear" w:pos="8306"/>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76198" cy="133159"/>
              <wp:effectExtent l="-9524" t="-9524" r="-9524" b="-9524"/>
              <wp:wrapNone/>
              <wp:docPr id="1" name="文本框 1"/>
              <wp:cNvGraphicFramePr>
                <a:graphicFrameLocks noChangeAspect="0"/>
              </wp:cNvGraphicFramePr>
              <a:graphic>
                <a:graphicData uri="http://schemas.microsoft.com/office/word/2010/wordprocessingShape">
                  <wps:wsp>
                    <wps:cNvSpPr/>
                    <wps:spPr>
                      <a:xfrm rot="0">
                        <a:off x="0" y="0"/>
                        <a:ext cx="76198" cy="133159"/>
                      </a:xfrm>
                      <a:prstGeom prst="rect"/>
                      <a:noFill/>
                      <a:ln w="9525" cmpd="sng" cap="flat">
                        <a:noFill/>
                        <a:prstDash val="solid"/>
                        <a:miter/>
                      </a:ln>
                    </wps:spPr>
                    <wps:txbx id="2">
                      <w:txbxContent>
                        <w:p>
                          <w:pPr>
                            <w:pStyle w:val="15"/>
                            <w:tabs>
                              <w:tab w:val="clear" w:pos="4153"/>
                              <w:tab w:val="clear" w:pos="8306"/>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type="#_x0000_t202" id="文本框 1" o:spid="_x0000_s3" filled="f" stroked="f" style="position:absolute;margin-left:0.0pt;margin-top:0.0pt;width:5.9999084pt;height:10.484998pt;z-index:12;mso-position-horizontal:center;mso-position-horizontal-relative:margin;mso-position-vertical:absolute;mso-wrap-style:none;">
              <v:stroke color="#000000"/>
              <v:textbox id="848" inset="0mm,0mm,0mm,0mm" o:insetmode="custom" style="layout-flow:horizontal;v-text-anchor:top;mso-fit-shape-to-text:t;">
                <w:txbxContent>
                  <w:p>
                    <w:pPr>
                      <w:pStyle w:val="15"/>
                      <w:tabs>
                        <w:tab w:val="clear" w:pos="4153"/>
                        <w:tab w:val="clear" w:pos="8306"/>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lear" w:pos="4153"/>
        <w:tab w:val="clear" w:pos="8306"/>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8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compatSetting w:name="compatibilityMode" w:uri="http://schemas.microsoft.com/office/word" w:val="11"/>
  </w:compat>
  <w:docVars>
    <w:docVar w:name="commondata" w:val="eyJoZGlkIjoiMzdkYTZmMDRjMWQ2Y2E5NTUwMzFjZTI4OTk3MGY1N2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6F4B01D-EC9B-46E1-A4C8-3E7D619FEA9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14108823</TotalTime>
  <Application>Yozo_Office27021597764231179</Application>
  <Pages>2</Pages>
  <Words>0</Words>
  <Characters>387</Characters>
  <Lines>0</Lines>
  <Paragraphs>18</Paragraphs>
  <CharactersWithSpaces>517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song</dc:creator>
  <cp:lastModifiedBy>administrator</cp:lastModifiedBy>
  <cp:revision>1</cp:revision>
  <cp:lastPrinted>2025-09-20T03:19:00Z</cp:lastPrinted>
  <dcterms:created xsi:type="dcterms:W3CDTF">2024-12-03T15:21:00Z</dcterms:created>
  <dcterms:modified xsi:type="dcterms:W3CDTF">2025-09-22T03:19:14Z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2052-11.8.2.11625</vt:lpwstr>
  </property>
  <property fmtid="{D5CDD505-2E9C-101B-9397-08002B2CF9AE}" pid="3" name="ICV  ">
    <vt:lpwstr>15FFE15176849B8140BCCB68BE7FD79F_43</vt:lpwstr>
  </property>
</Properties>
</file>